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054" w:rsidRDefault="00EA0054" w:rsidP="00C07C5B">
      <w:pPr>
        <w:jc w:val="center"/>
        <w:rPr>
          <w:rFonts w:ascii="Tw Cen MT" w:hAnsi="Tw Cen MT" w:cs="Times New Roman"/>
          <w:b/>
          <w:sz w:val="24"/>
          <w:szCs w:val="24"/>
        </w:rPr>
      </w:pPr>
      <w:bookmarkStart w:id="0" w:name="_GoBack"/>
      <w:bookmarkEnd w:id="0"/>
    </w:p>
    <w:p w:rsidR="009C3752" w:rsidRPr="00EA0054" w:rsidRDefault="009C3752" w:rsidP="00C07C5B">
      <w:pPr>
        <w:jc w:val="center"/>
        <w:rPr>
          <w:rFonts w:ascii="Tw Cen MT" w:hAnsi="Tw Cen MT" w:cs="Times New Roman"/>
          <w:b/>
          <w:sz w:val="28"/>
          <w:szCs w:val="28"/>
        </w:rPr>
      </w:pPr>
      <w:r w:rsidRPr="00EA0054">
        <w:rPr>
          <w:rFonts w:ascii="Tw Cen MT" w:hAnsi="Tw Cen MT" w:cs="Times New Roman"/>
          <w:b/>
          <w:sz w:val="28"/>
          <w:szCs w:val="28"/>
        </w:rPr>
        <w:t>Recent Developments: Dodd-Frank and Sarbanes-Oxley Whistleblower Law</w:t>
      </w:r>
    </w:p>
    <w:p w:rsidR="009C3752" w:rsidRDefault="009C3752" w:rsidP="001A6FB2">
      <w:pPr>
        <w:spacing w:after="0" w:line="240" w:lineRule="auto"/>
        <w:jc w:val="center"/>
        <w:rPr>
          <w:rFonts w:ascii="Tw Cen MT" w:hAnsi="Tw Cen MT" w:cs="Times New Roman"/>
          <w:b/>
          <w:sz w:val="24"/>
          <w:szCs w:val="24"/>
        </w:rPr>
      </w:pPr>
    </w:p>
    <w:p w:rsidR="001A6FB2" w:rsidRDefault="001A6FB2" w:rsidP="001A6FB2">
      <w:pPr>
        <w:spacing w:after="0" w:line="240" w:lineRule="auto"/>
        <w:jc w:val="center"/>
        <w:rPr>
          <w:rFonts w:ascii="Tw Cen MT" w:hAnsi="Tw Cen MT" w:cs="Times New Roman"/>
          <w:b/>
          <w:sz w:val="24"/>
          <w:szCs w:val="24"/>
        </w:rPr>
      </w:pPr>
      <w:r>
        <w:rPr>
          <w:rFonts w:ascii="Tw Cen MT" w:hAnsi="Tw Cen MT" w:cs="Times New Roman"/>
          <w:b/>
          <w:sz w:val="24"/>
          <w:szCs w:val="24"/>
        </w:rPr>
        <w:t>David Smyth</w:t>
      </w:r>
    </w:p>
    <w:p w:rsidR="001A6FB2" w:rsidRDefault="001A6FB2" w:rsidP="001A6FB2">
      <w:pPr>
        <w:spacing w:after="0" w:line="240" w:lineRule="auto"/>
        <w:jc w:val="center"/>
        <w:rPr>
          <w:rFonts w:ascii="Tw Cen MT" w:hAnsi="Tw Cen MT" w:cs="Times New Roman"/>
          <w:b/>
          <w:sz w:val="24"/>
          <w:szCs w:val="24"/>
        </w:rPr>
      </w:pPr>
      <w:r>
        <w:rPr>
          <w:rFonts w:ascii="Tw Cen MT" w:hAnsi="Tw Cen MT" w:cs="Times New Roman"/>
          <w:b/>
          <w:sz w:val="24"/>
          <w:szCs w:val="24"/>
        </w:rPr>
        <w:t>Brooks Pierce McLendon Humphrey &amp; Leonard LLP</w:t>
      </w:r>
    </w:p>
    <w:p w:rsidR="001A6FB2" w:rsidRPr="008D2D85" w:rsidRDefault="001A6FB2" w:rsidP="001A6FB2">
      <w:pPr>
        <w:spacing w:after="0" w:line="240" w:lineRule="auto"/>
        <w:jc w:val="center"/>
        <w:rPr>
          <w:rFonts w:ascii="Tw Cen MT" w:hAnsi="Tw Cen MT" w:cs="Times New Roman"/>
          <w:b/>
          <w:sz w:val="24"/>
          <w:szCs w:val="24"/>
        </w:rPr>
      </w:pPr>
    </w:p>
    <w:p w:rsidR="00C07C5B" w:rsidRDefault="00C07C5B" w:rsidP="00C07C5B">
      <w:pPr>
        <w:pStyle w:val="ListParagraph"/>
        <w:numPr>
          <w:ilvl w:val="0"/>
          <w:numId w:val="1"/>
        </w:numPr>
        <w:rPr>
          <w:rFonts w:ascii="Tw Cen MT" w:hAnsi="Tw Cen MT" w:cs="Times New Roman"/>
          <w:sz w:val="24"/>
          <w:szCs w:val="24"/>
        </w:rPr>
      </w:pPr>
      <w:r w:rsidRPr="003A0280">
        <w:rPr>
          <w:rFonts w:ascii="Tw Cen MT" w:hAnsi="Tw Cen MT" w:cs="Times New Roman"/>
          <w:b/>
          <w:sz w:val="24"/>
          <w:szCs w:val="24"/>
        </w:rPr>
        <w:t>Intro</w:t>
      </w:r>
      <w:r w:rsidR="001A6FB2" w:rsidRPr="003A0280">
        <w:rPr>
          <w:rFonts w:ascii="Tw Cen MT" w:hAnsi="Tw Cen MT" w:cs="Times New Roman"/>
          <w:b/>
          <w:sz w:val="24"/>
          <w:szCs w:val="24"/>
        </w:rPr>
        <w:t>duction</w:t>
      </w:r>
    </w:p>
    <w:p w:rsidR="008D2D85" w:rsidRPr="00F61386" w:rsidRDefault="008D2D85" w:rsidP="008D2D85">
      <w:pPr>
        <w:pStyle w:val="ListParagraph"/>
        <w:numPr>
          <w:ilvl w:val="1"/>
          <w:numId w:val="1"/>
        </w:numPr>
        <w:rPr>
          <w:rFonts w:ascii="Tw Cen MT" w:hAnsi="Tw Cen MT" w:cs="Times New Roman"/>
          <w:sz w:val="24"/>
          <w:szCs w:val="24"/>
        </w:rPr>
      </w:pPr>
      <w:r w:rsidRPr="00F61386">
        <w:rPr>
          <w:rFonts w:ascii="Tw Cen MT" w:hAnsi="Tw Cen MT" w:cs="Times New Roman"/>
          <w:sz w:val="24"/>
          <w:szCs w:val="24"/>
        </w:rPr>
        <w:t>Office of Internet Enforcement is born in 1995.</w:t>
      </w:r>
    </w:p>
    <w:p w:rsidR="00C07C5B" w:rsidRPr="00F61386" w:rsidRDefault="00C07C5B" w:rsidP="008D2D85">
      <w:pPr>
        <w:pStyle w:val="ListParagraph"/>
        <w:numPr>
          <w:ilvl w:val="2"/>
          <w:numId w:val="1"/>
        </w:numPr>
        <w:rPr>
          <w:rFonts w:ascii="Tw Cen MT" w:hAnsi="Tw Cen MT" w:cs="Times New Roman"/>
          <w:sz w:val="24"/>
          <w:szCs w:val="24"/>
        </w:rPr>
      </w:pPr>
      <w:r w:rsidRPr="00F61386">
        <w:rPr>
          <w:rFonts w:ascii="Tw Cen MT" w:hAnsi="Tw Cen MT" w:cs="Times New Roman"/>
          <w:sz w:val="24"/>
          <w:szCs w:val="24"/>
        </w:rPr>
        <w:t xml:space="preserve">1995 – John Stark notices people being victimized by securities fraud </w:t>
      </w:r>
      <w:r w:rsidR="008D1FEF" w:rsidRPr="00F61386">
        <w:rPr>
          <w:rFonts w:ascii="Tw Cen MT" w:hAnsi="Tw Cen MT" w:cs="Times New Roman"/>
          <w:sz w:val="24"/>
          <w:szCs w:val="24"/>
        </w:rPr>
        <w:t>in</w:t>
      </w:r>
      <w:r w:rsidRPr="00F61386">
        <w:rPr>
          <w:rFonts w:ascii="Tw Cen MT" w:hAnsi="Tw Cen MT" w:cs="Times New Roman"/>
          <w:sz w:val="24"/>
          <w:szCs w:val="24"/>
        </w:rPr>
        <w:t xml:space="preserve"> Yahoo chat rooms and </w:t>
      </w:r>
      <w:r w:rsidR="008D1FEF" w:rsidRPr="00F61386">
        <w:rPr>
          <w:rFonts w:ascii="Tw Cen MT" w:hAnsi="Tw Cen MT" w:cs="Times New Roman"/>
          <w:sz w:val="24"/>
          <w:szCs w:val="24"/>
        </w:rPr>
        <w:t>similar</w:t>
      </w:r>
      <w:r w:rsidRPr="00F61386">
        <w:rPr>
          <w:rFonts w:ascii="Tw Cen MT" w:hAnsi="Tw Cen MT" w:cs="Times New Roman"/>
          <w:sz w:val="24"/>
          <w:szCs w:val="24"/>
        </w:rPr>
        <w:t xml:space="preserve"> </w:t>
      </w:r>
      <w:r w:rsidR="008D1FEF" w:rsidRPr="00F61386">
        <w:rPr>
          <w:rFonts w:ascii="Tw Cen MT" w:hAnsi="Tw Cen MT" w:cs="Times New Roman"/>
          <w:sz w:val="24"/>
          <w:szCs w:val="24"/>
        </w:rPr>
        <w:t>places</w:t>
      </w:r>
      <w:r w:rsidRPr="00F61386">
        <w:rPr>
          <w:rFonts w:ascii="Tw Cen MT" w:hAnsi="Tw Cen MT" w:cs="Times New Roman"/>
          <w:sz w:val="24"/>
          <w:szCs w:val="24"/>
        </w:rPr>
        <w:t>.</w:t>
      </w:r>
    </w:p>
    <w:p w:rsidR="002C3E91" w:rsidRPr="00F61386" w:rsidRDefault="002C3E91" w:rsidP="008D2D85">
      <w:pPr>
        <w:pStyle w:val="ListParagraph"/>
        <w:numPr>
          <w:ilvl w:val="2"/>
          <w:numId w:val="1"/>
        </w:numPr>
        <w:rPr>
          <w:rFonts w:ascii="Tw Cen MT" w:hAnsi="Tw Cen MT" w:cs="Times New Roman"/>
          <w:sz w:val="24"/>
          <w:szCs w:val="24"/>
        </w:rPr>
      </w:pPr>
      <w:r w:rsidRPr="00F61386">
        <w:rPr>
          <w:rFonts w:ascii="Tw Cen MT" w:hAnsi="Tw Cen MT" w:cs="Times New Roman"/>
          <w:sz w:val="24"/>
          <w:szCs w:val="24"/>
        </w:rPr>
        <w:t>Novel evidence-collection issues:</w:t>
      </w:r>
    </w:p>
    <w:p w:rsidR="002C3E91" w:rsidRPr="00F61386" w:rsidRDefault="002C3E91" w:rsidP="008D2D85">
      <w:pPr>
        <w:pStyle w:val="ListParagraph"/>
        <w:numPr>
          <w:ilvl w:val="3"/>
          <w:numId w:val="1"/>
        </w:numPr>
        <w:rPr>
          <w:rFonts w:ascii="Tw Cen MT" w:hAnsi="Tw Cen MT" w:cs="Times New Roman"/>
          <w:sz w:val="24"/>
          <w:szCs w:val="24"/>
        </w:rPr>
      </w:pPr>
      <w:r w:rsidRPr="00F61386">
        <w:rPr>
          <w:rFonts w:ascii="Tw Cen MT" w:hAnsi="Tw Cen MT" w:cs="Times New Roman"/>
          <w:sz w:val="24"/>
          <w:szCs w:val="24"/>
        </w:rPr>
        <w:t xml:space="preserve">how to subpoena documents from AOL; </w:t>
      </w:r>
    </w:p>
    <w:p w:rsidR="002C3E91" w:rsidRPr="00F61386" w:rsidRDefault="002C3E91" w:rsidP="008D2D85">
      <w:pPr>
        <w:pStyle w:val="ListParagraph"/>
        <w:numPr>
          <w:ilvl w:val="3"/>
          <w:numId w:val="1"/>
        </w:numPr>
        <w:rPr>
          <w:rFonts w:ascii="Tw Cen MT" w:hAnsi="Tw Cen MT" w:cs="Times New Roman"/>
          <w:sz w:val="24"/>
          <w:szCs w:val="24"/>
        </w:rPr>
      </w:pPr>
      <w:r w:rsidRPr="00F61386">
        <w:rPr>
          <w:rFonts w:ascii="Tw Cen MT" w:hAnsi="Tw Cen MT" w:cs="Times New Roman"/>
          <w:sz w:val="24"/>
          <w:szCs w:val="24"/>
        </w:rPr>
        <w:t>IP addresses were new; what did they mean?</w:t>
      </w:r>
    </w:p>
    <w:p w:rsidR="00C07C5B" w:rsidRPr="00F61386" w:rsidRDefault="00C07C5B" w:rsidP="008D2D85">
      <w:pPr>
        <w:pStyle w:val="ListParagraph"/>
        <w:numPr>
          <w:ilvl w:val="2"/>
          <w:numId w:val="1"/>
        </w:numPr>
        <w:rPr>
          <w:rFonts w:ascii="Tw Cen MT" w:hAnsi="Tw Cen MT" w:cs="Times New Roman"/>
          <w:sz w:val="24"/>
          <w:szCs w:val="24"/>
        </w:rPr>
      </w:pPr>
      <w:r w:rsidRPr="00F61386">
        <w:rPr>
          <w:rFonts w:ascii="Tw Cen MT" w:hAnsi="Tw Cen MT" w:cs="Times New Roman"/>
          <w:sz w:val="24"/>
          <w:szCs w:val="24"/>
        </w:rPr>
        <w:t>He proposes that the SEC’s Enforcement Division</w:t>
      </w:r>
      <w:r w:rsidR="002C3E91" w:rsidRPr="00F61386">
        <w:rPr>
          <w:rFonts w:ascii="Tw Cen MT" w:hAnsi="Tw Cen MT" w:cs="Times New Roman"/>
          <w:sz w:val="24"/>
          <w:szCs w:val="24"/>
        </w:rPr>
        <w:t xml:space="preserve"> establish an Office of Internet Enforcement to police that dark corner of the market.  He writes a 30-page manifesto and </w:t>
      </w:r>
      <w:r w:rsidR="00350726" w:rsidRPr="00F61386">
        <w:rPr>
          <w:rFonts w:ascii="Tw Cen MT" w:hAnsi="Tw Cen MT" w:cs="Times New Roman"/>
          <w:sz w:val="24"/>
          <w:szCs w:val="24"/>
        </w:rPr>
        <w:t>is told</w:t>
      </w:r>
      <w:r w:rsidR="002C3E91" w:rsidRPr="00F61386">
        <w:rPr>
          <w:rFonts w:ascii="Tw Cen MT" w:hAnsi="Tw Cen MT" w:cs="Times New Roman"/>
          <w:sz w:val="24"/>
          <w:szCs w:val="24"/>
        </w:rPr>
        <w:t xml:space="preserve">, “Fine.  You’re the Office of Internet Enforcement.”  </w:t>
      </w:r>
    </w:p>
    <w:p w:rsidR="002C3E91" w:rsidRPr="00F61386" w:rsidRDefault="002C3E91" w:rsidP="008D2D85">
      <w:pPr>
        <w:pStyle w:val="ListParagraph"/>
        <w:numPr>
          <w:ilvl w:val="2"/>
          <w:numId w:val="1"/>
        </w:numPr>
        <w:rPr>
          <w:rFonts w:ascii="Tw Cen MT" w:hAnsi="Tw Cen MT" w:cs="Times New Roman"/>
          <w:sz w:val="24"/>
          <w:szCs w:val="24"/>
        </w:rPr>
      </w:pPr>
      <w:r w:rsidRPr="00F61386">
        <w:rPr>
          <w:rFonts w:ascii="Tw Cen MT" w:hAnsi="Tw Cen MT" w:cs="Times New Roman"/>
          <w:sz w:val="24"/>
          <w:szCs w:val="24"/>
        </w:rPr>
        <w:t xml:space="preserve">One of the things </w:t>
      </w:r>
      <w:r w:rsidR="00C82C72">
        <w:rPr>
          <w:rFonts w:ascii="Tw Cen MT" w:hAnsi="Tw Cen MT" w:cs="Times New Roman"/>
          <w:sz w:val="24"/>
          <w:szCs w:val="24"/>
        </w:rPr>
        <w:t>he</w:t>
      </w:r>
      <w:r w:rsidRPr="00F61386">
        <w:rPr>
          <w:rFonts w:ascii="Tw Cen MT" w:hAnsi="Tw Cen MT" w:cs="Times New Roman"/>
          <w:sz w:val="24"/>
          <w:szCs w:val="24"/>
        </w:rPr>
        <w:t xml:space="preserve"> proposed was that the Commission establish an email address to receive tips and complaints about potential federal securities law violations.</w:t>
      </w:r>
    </w:p>
    <w:p w:rsidR="001466B4" w:rsidRPr="00F61386" w:rsidRDefault="001466B4" w:rsidP="008D2D85">
      <w:pPr>
        <w:pStyle w:val="ListParagraph"/>
        <w:numPr>
          <w:ilvl w:val="2"/>
          <w:numId w:val="1"/>
        </w:numPr>
        <w:rPr>
          <w:rFonts w:ascii="Tw Cen MT" w:hAnsi="Tw Cen MT" w:cs="Times New Roman"/>
          <w:sz w:val="24"/>
          <w:szCs w:val="24"/>
        </w:rPr>
      </w:pPr>
      <w:r w:rsidRPr="00F61386">
        <w:rPr>
          <w:rFonts w:ascii="Tw Cen MT" w:hAnsi="Tw Cen MT" w:cs="Times New Roman"/>
          <w:sz w:val="24"/>
          <w:szCs w:val="24"/>
        </w:rPr>
        <w:t>Question arises: who’s going to read the emails?</w:t>
      </w:r>
      <w:r w:rsidR="003258F5" w:rsidRPr="00F61386">
        <w:rPr>
          <w:rFonts w:ascii="Tw Cen MT" w:hAnsi="Tw Cen MT" w:cs="Times New Roman"/>
          <w:sz w:val="24"/>
          <w:szCs w:val="24"/>
        </w:rPr>
        <w:t xml:space="preserve">  </w:t>
      </w:r>
    </w:p>
    <w:p w:rsidR="009F3788" w:rsidRPr="00F61386" w:rsidRDefault="009F3788" w:rsidP="009F3788">
      <w:pPr>
        <w:pStyle w:val="ListParagraph"/>
        <w:ind w:left="2160"/>
        <w:rPr>
          <w:rFonts w:ascii="Tw Cen MT" w:hAnsi="Tw Cen MT" w:cs="Times New Roman"/>
          <w:sz w:val="24"/>
          <w:szCs w:val="24"/>
        </w:rPr>
      </w:pPr>
    </w:p>
    <w:p w:rsidR="00544182" w:rsidRPr="00F61386" w:rsidRDefault="009F3788" w:rsidP="008D2D85">
      <w:pPr>
        <w:pStyle w:val="ListParagraph"/>
        <w:numPr>
          <w:ilvl w:val="1"/>
          <w:numId w:val="1"/>
        </w:numPr>
        <w:rPr>
          <w:rFonts w:ascii="Tw Cen MT" w:hAnsi="Tw Cen MT" w:cs="Times New Roman"/>
          <w:sz w:val="24"/>
          <w:szCs w:val="24"/>
        </w:rPr>
      </w:pPr>
      <w:r w:rsidRPr="00F61386">
        <w:rPr>
          <w:rFonts w:ascii="Tw Cen MT" w:hAnsi="Tw Cen MT" w:cs="Times New Roman"/>
          <w:b/>
          <w:sz w:val="24"/>
          <w:szCs w:val="24"/>
        </w:rPr>
        <w:t>Insider Trading Bounty Program</w:t>
      </w:r>
    </w:p>
    <w:p w:rsidR="009F3788" w:rsidRPr="00F61386" w:rsidRDefault="009F3788" w:rsidP="008D2D85">
      <w:pPr>
        <w:pStyle w:val="ListParagraph"/>
        <w:numPr>
          <w:ilvl w:val="2"/>
          <w:numId w:val="1"/>
        </w:numPr>
        <w:rPr>
          <w:rFonts w:ascii="Tw Cen MT" w:hAnsi="Tw Cen MT" w:cs="Times New Roman"/>
          <w:sz w:val="24"/>
          <w:szCs w:val="24"/>
        </w:rPr>
      </w:pPr>
      <w:r w:rsidRPr="00F61386">
        <w:rPr>
          <w:rFonts w:ascii="Tw Cen MT" w:hAnsi="Tw Cen MT" w:cs="Times New Roman"/>
          <w:sz w:val="24"/>
          <w:szCs w:val="24"/>
        </w:rPr>
        <w:t>Was in place for 20 years but was little used.</w:t>
      </w:r>
    </w:p>
    <w:p w:rsidR="009F3788" w:rsidRPr="00F61386" w:rsidRDefault="009F3788" w:rsidP="008D2D85">
      <w:pPr>
        <w:pStyle w:val="ListParagraph"/>
        <w:numPr>
          <w:ilvl w:val="2"/>
          <w:numId w:val="1"/>
        </w:numPr>
        <w:rPr>
          <w:rFonts w:ascii="Tw Cen MT" w:hAnsi="Tw Cen MT" w:cs="Times New Roman"/>
          <w:sz w:val="24"/>
          <w:szCs w:val="24"/>
        </w:rPr>
      </w:pPr>
      <w:r w:rsidRPr="00F61386">
        <w:rPr>
          <w:rFonts w:ascii="Tw Cen MT" w:hAnsi="Tw Cen MT" w:cs="Times New Roman"/>
          <w:sz w:val="24"/>
          <w:szCs w:val="24"/>
        </w:rPr>
        <w:t>Section 21A(e) of the Exchange Act.</w:t>
      </w:r>
    </w:p>
    <w:p w:rsidR="00ED4A7E" w:rsidRPr="00F61386" w:rsidRDefault="00ED4A7E" w:rsidP="00ED4A7E">
      <w:pPr>
        <w:pStyle w:val="ListParagraph"/>
        <w:numPr>
          <w:ilvl w:val="3"/>
          <w:numId w:val="1"/>
        </w:numPr>
        <w:rPr>
          <w:rFonts w:ascii="Tw Cen MT" w:hAnsi="Tw Cen MT" w:cs="Times New Roman"/>
          <w:sz w:val="24"/>
          <w:szCs w:val="24"/>
        </w:rPr>
      </w:pPr>
      <w:r w:rsidRPr="00F61386">
        <w:rPr>
          <w:rFonts w:ascii="Tw Cen MT" w:hAnsi="Tw Cen MT" w:cs="Times New Roman"/>
          <w:sz w:val="24"/>
          <w:szCs w:val="24"/>
        </w:rPr>
        <w:t>Part of the Insider Trading and Securities Fraud Enforcement Act of 1988 (post 1987 crash).</w:t>
      </w:r>
    </w:p>
    <w:p w:rsidR="009F3788" w:rsidRPr="00F61386" w:rsidRDefault="009F3788" w:rsidP="008D2D85">
      <w:pPr>
        <w:pStyle w:val="ListParagraph"/>
        <w:numPr>
          <w:ilvl w:val="3"/>
          <w:numId w:val="1"/>
        </w:numPr>
        <w:rPr>
          <w:rFonts w:ascii="Tw Cen MT" w:hAnsi="Tw Cen MT" w:cs="Times New Roman"/>
          <w:sz w:val="24"/>
          <w:szCs w:val="24"/>
        </w:rPr>
      </w:pPr>
      <w:r w:rsidRPr="00F61386">
        <w:rPr>
          <w:rFonts w:ascii="Tw Cen MT" w:hAnsi="Tw Cen MT" w:cs="Times New Roman"/>
          <w:sz w:val="24"/>
          <w:szCs w:val="24"/>
        </w:rPr>
        <w:t>Authorized the SEC</w:t>
      </w:r>
      <w:r w:rsidR="00EE4451" w:rsidRPr="00F61386">
        <w:rPr>
          <w:rFonts w:ascii="Tw Cen MT" w:hAnsi="Tw Cen MT" w:cs="Times New Roman"/>
          <w:sz w:val="24"/>
          <w:szCs w:val="24"/>
        </w:rPr>
        <w:t xml:space="preserve"> to award a bounty to a person who provides info</w:t>
      </w:r>
      <w:r w:rsidR="00ED4A7E" w:rsidRPr="00F61386">
        <w:rPr>
          <w:rFonts w:ascii="Tw Cen MT" w:hAnsi="Tw Cen MT" w:cs="Times New Roman"/>
          <w:sz w:val="24"/>
          <w:szCs w:val="24"/>
        </w:rPr>
        <w:t>rmation</w:t>
      </w:r>
      <w:r w:rsidR="00EE4451" w:rsidRPr="00F61386">
        <w:rPr>
          <w:rFonts w:ascii="Tw Cen MT" w:hAnsi="Tw Cen MT" w:cs="Times New Roman"/>
          <w:sz w:val="24"/>
          <w:szCs w:val="24"/>
        </w:rPr>
        <w:t xml:space="preserve"> leading to the recovery of a civil penalty in an insider trading case.</w:t>
      </w:r>
    </w:p>
    <w:p w:rsidR="00EE4451" w:rsidRPr="00F61386" w:rsidRDefault="00EE4451" w:rsidP="008D2D85">
      <w:pPr>
        <w:pStyle w:val="ListParagraph"/>
        <w:numPr>
          <w:ilvl w:val="3"/>
          <w:numId w:val="1"/>
        </w:numPr>
        <w:rPr>
          <w:rFonts w:ascii="Tw Cen MT" w:hAnsi="Tw Cen MT" w:cs="Times New Roman"/>
          <w:sz w:val="24"/>
          <w:szCs w:val="24"/>
        </w:rPr>
      </w:pPr>
      <w:r w:rsidRPr="00F61386">
        <w:rPr>
          <w:rFonts w:ascii="Tw Cen MT" w:hAnsi="Tw Cen MT" w:cs="Times New Roman"/>
          <w:sz w:val="24"/>
          <w:szCs w:val="24"/>
        </w:rPr>
        <w:t>All bounty determinations were within the sole discretion of the Commission, but the total bounty could not exceed 10% of the amount recovered from a civil penalty.</w:t>
      </w:r>
    </w:p>
    <w:p w:rsidR="00EE4451" w:rsidRPr="00F61386" w:rsidRDefault="00EE4451" w:rsidP="00EE4451">
      <w:pPr>
        <w:pStyle w:val="ListParagraph"/>
        <w:ind w:left="2160"/>
        <w:rPr>
          <w:rFonts w:ascii="Tw Cen MT" w:hAnsi="Tw Cen MT" w:cs="Times New Roman"/>
          <w:sz w:val="24"/>
          <w:szCs w:val="24"/>
        </w:rPr>
      </w:pPr>
    </w:p>
    <w:p w:rsidR="008D2D85" w:rsidRPr="00F61386" w:rsidRDefault="008D2D85" w:rsidP="008D2D85">
      <w:pPr>
        <w:pStyle w:val="ListParagraph"/>
        <w:numPr>
          <w:ilvl w:val="1"/>
          <w:numId w:val="1"/>
        </w:numPr>
        <w:rPr>
          <w:rFonts w:ascii="Tw Cen MT" w:hAnsi="Tw Cen MT" w:cs="Times New Roman"/>
          <w:sz w:val="24"/>
          <w:szCs w:val="24"/>
        </w:rPr>
      </w:pPr>
      <w:r w:rsidRPr="00F61386">
        <w:rPr>
          <w:rFonts w:ascii="Tw Cen MT" w:hAnsi="Tw Cen MT" w:cs="Times New Roman"/>
          <w:b/>
          <w:sz w:val="24"/>
          <w:szCs w:val="24"/>
        </w:rPr>
        <w:t>Problem in government with respect to information sharing</w:t>
      </w:r>
      <w:r w:rsidRPr="00F61386">
        <w:rPr>
          <w:rFonts w:ascii="Tw Cen MT" w:hAnsi="Tw Cen MT" w:cs="Times New Roman"/>
          <w:sz w:val="24"/>
          <w:szCs w:val="24"/>
        </w:rPr>
        <w:t>.</w:t>
      </w:r>
    </w:p>
    <w:p w:rsidR="008D2D85" w:rsidRPr="00F61386" w:rsidRDefault="008D2D85" w:rsidP="008D2D85">
      <w:pPr>
        <w:pStyle w:val="ListParagraph"/>
        <w:numPr>
          <w:ilvl w:val="2"/>
          <w:numId w:val="1"/>
        </w:numPr>
        <w:rPr>
          <w:rFonts w:ascii="Tw Cen MT" w:hAnsi="Tw Cen MT" w:cs="Times New Roman"/>
          <w:sz w:val="24"/>
          <w:szCs w:val="24"/>
        </w:rPr>
      </w:pPr>
      <w:r w:rsidRPr="00F61386">
        <w:rPr>
          <w:rFonts w:ascii="Tw Cen MT" w:hAnsi="Tw Cen MT" w:cs="Times New Roman"/>
          <w:sz w:val="24"/>
          <w:szCs w:val="24"/>
        </w:rPr>
        <w:t>9/11</w:t>
      </w:r>
    </w:p>
    <w:p w:rsidR="008D2D85" w:rsidRPr="00F61386" w:rsidRDefault="008D2D85" w:rsidP="008D2D85">
      <w:pPr>
        <w:pStyle w:val="ListParagraph"/>
        <w:numPr>
          <w:ilvl w:val="2"/>
          <w:numId w:val="1"/>
        </w:numPr>
        <w:rPr>
          <w:rFonts w:ascii="Tw Cen MT" w:hAnsi="Tw Cen MT" w:cs="Times New Roman"/>
          <w:sz w:val="24"/>
          <w:szCs w:val="24"/>
        </w:rPr>
      </w:pPr>
      <w:r w:rsidRPr="00F61386">
        <w:rPr>
          <w:rFonts w:ascii="Tw Cen MT" w:hAnsi="Tw Cen MT"/>
          <w:color w:val="000000"/>
          <w:sz w:val="24"/>
          <w:szCs w:val="24"/>
          <w:shd w:val="clear" w:color="auto" w:fill="FFFFFF"/>
        </w:rPr>
        <w:t>Umar Farouk Abdulmutallab – Nigerian</w:t>
      </w:r>
      <w:r w:rsidR="00F61386">
        <w:rPr>
          <w:rFonts w:ascii="Tw Cen MT" w:hAnsi="Tw Cen MT"/>
          <w:color w:val="000000"/>
          <w:sz w:val="24"/>
          <w:szCs w:val="24"/>
          <w:shd w:val="clear" w:color="auto" w:fill="FFFFFF"/>
        </w:rPr>
        <w:t xml:space="preserve"> national</w:t>
      </w:r>
      <w:r w:rsidRPr="00F61386">
        <w:rPr>
          <w:rFonts w:ascii="Tw Cen MT" w:hAnsi="Tw Cen MT"/>
          <w:color w:val="000000"/>
          <w:sz w:val="24"/>
          <w:szCs w:val="24"/>
          <w:shd w:val="clear" w:color="auto" w:fill="FFFFFF"/>
        </w:rPr>
        <w:t xml:space="preserve"> on airplane in Dec. 2009</w:t>
      </w:r>
    </w:p>
    <w:p w:rsidR="008D2D85" w:rsidRPr="00F61386" w:rsidRDefault="008D2D85" w:rsidP="008D2D85">
      <w:pPr>
        <w:pStyle w:val="ListParagraph"/>
        <w:numPr>
          <w:ilvl w:val="2"/>
          <w:numId w:val="1"/>
        </w:numPr>
        <w:rPr>
          <w:rFonts w:ascii="Tw Cen MT" w:hAnsi="Tw Cen MT" w:cs="Times New Roman"/>
          <w:sz w:val="24"/>
          <w:szCs w:val="24"/>
        </w:rPr>
      </w:pPr>
      <w:r w:rsidRPr="00F61386">
        <w:rPr>
          <w:rFonts w:ascii="Tw Cen MT" w:hAnsi="Tw Cen MT" w:cs="Times New Roman"/>
          <w:sz w:val="24"/>
          <w:szCs w:val="24"/>
        </w:rPr>
        <w:t xml:space="preserve">SEC </w:t>
      </w:r>
    </w:p>
    <w:p w:rsidR="008D2D85" w:rsidRPr="00F61386" w:rsidRDefault="008D2D85" w:rsidP="008D2D85">
      <w:pPr>
        <w:pStyle w:val="ListParagraph"/>
        <w:numPr>
          <w:ilvl w:val="3"/>
          <w:numId w:val="1"/>
        </w:numPr>
        <w:rPr>
          <w:rFonts w:ascii="Tw Cen MT" w:hAnsi="Tw Cen MT" w:cs="Times New Roman"/>
          <w:sz w:val="24"/>
          <w:szCs w:val="24"/>
        </w:rPr>
      </w:pPr>
      <w:r w:rsidRPr="00F61386">
        <w:rPr>
          <w:rFonts w:ascii="Tw Cen MT" w:hAnsi="Tw Cen MT" w:cs="Times New Roman"/>
          <w:sz w:val="24"/>
          <w:szCs w:val="24"/>
        </w:rPr>
        <w:t>Peter Scannell – Putnam Investments</w:t>
      </w:r>
    </w:p>
    <w:p w:rsidR="008D2D85" w:rsidRPr="00F61386" w:rsidRDefault="008D2D85" w:rsidP="008D2D85">
      <w:pPr>
        <w:pStyle w:val="ListParagraph"/>
        <w:numPr>
          <w:ilvl w:val="3"/>
          <w:numId w:val="1"/>
        </w:numPr>
        <w:rPr>
          <w:rFonts w:ascii="Tw Cen MT" w:hAnsi="Tw Cen MT" w:cs="Times New Roman"/>
          <w:sz w:val="24"/>
          <w:szCs w:val="24"/>
        </w:rPr>
      </w:pPr>
      <w:r w:rsidRPr="00F61386">
        <w:rPr>
          <w:rFonts w:ascii="Tw Cen MT" w:hAnsi="Tw Cen MT"/>
          <w:color w:val="000000"/>
          <w:sz w:val="24"/>
          <w:szCs w:val="24"/>
          <w:shd w:val="clear" w:color="auto" w:fill="FFFFFF"/>
        </w:rPr>
        <w:t>Bernie Madoff</w:t>
      </w:r>
    </w:p>
    <w:p w:rsidR="00A56F21" w:rsidRPr="00F61386" w:rsidRDefault="00A56F21" w:rsidP="00A56F21">
      <w:pPr>
        <w:pStyle w:val="ListParagraph"/>
        <w:ind w:left="1080"/>
        <w:rPr>
          <w:rFonts w:ascii="Tw Cen MT" w:hAnsi="Tw Cen MT" w:cs="Times New Roman"/>
          <w:sz w:val="24"/>
          <w:szCs w:val="24"/>
        </w:rPr>
      </w:pPr>
    </w:p>
    <w:p w:rsidR="003A0280" w:rsidRPr="00F61386" w:rsidRDefault="003A0280" w:rsidP="00A56F21">
      <w:pPr>
        <w:pStyle w:val="ListParagraph"/>
        <w:ind w:left="1080"/>
        <w:rPr>
          <w:rFonts w:ascii="Tw Cen MT" w:hAnsi="Tw Cen MT" w:cs="Times New Roman"/>
          <w:sz w:val="24"/>
          <w:szCs w:val="24"/>
        </w:rPr>
      </w:pPr>
    </w:p>
    <w:p w:rsidR="003A0280" w:rsidRPr="00F61386" w:rsidRDefault="003A0280" w:rsidP="00A56F21">
      <w:pPr>
        <w:pStyle w:val="ListParagraph"/>
        <w:ind w:left="1080"/>
        <w:rPr>
          <w:rFonts w:ascii="Tw Cen MT" w:hAnsi="Tw Cen MT" w:cs="Times New Roman"/>
          <w:sz w:val="24"/>
          <w:szCs w:val="24"/>
        </w:rPr>
      </w:pPr>
    </w:p>
    <w:p w:rsidR="00A56F21" w:rsidRPr="00F61386" w:rsidRDefault="00A56F21" w:rsidP="00A56F21">
      <w:pPr>
        <w:pStyle w:val="ListParagraph"/>
        <w:numPr>
          <w:ilvl w:val="1"/>
          <w:numId w:val="1"/>
        </w:numPr>
        <w:rPr>
          <w:rFonts w:ascii="Tw Cen MT" w:hAnsi="Tw Cen MT" w:cs="Times New Roman"/>
          <w:sz w:val="24"/>
          <w:szCs w:val="24"/>
        </w:rPr>
      </w:pPr>
      <w:r w:rsidRPr="00F61386">
        <w:rPr>
          <w:rFonts w:ascii="Tw Cen MT" w:hAnsi="Tw Cen MT" w:cs="Times New Roman"/>
          <w:b/>
          <w:sz w:val="24"/>
          <w:szCs w:val="24"/>
        </w:rPr>
        <w:t>Sarbanes-Oxley Section 806</w:t>
      </w:r>
    </w:p>
    <w:p w:rsidR="00A56F21" w:rsidRPr="00F61386" w:rsidRDefault="00A56F21" w:rsidP="00A56F21">
      <w:pPr>
        <w:pStyle w:val="ListParagraph"/>
        <w:numPr>
          <w:ilvl w:val="2"/>
          <w:numId w:val="1"/>
        </w:numPr>
        <w:rPr>
          <w:rFonts w:ascii="Tw Cen MT" w:hAnsi="Tw Cen MT" w:cs="Times New Roman"/>
          <w:sz w:val="24"/>
          <w:szCs w:val="24"/>
        </w:rPr>
      </w:pPr>
      <w:r w:rsidRPr="00F61386">
        <w:rPr>
          <w:rFonts w:ascii="Tw Cen MT" w:hAnsi="Tw Cen MT" w:cs="Times New Roman"/>
          <w:sz w:val="24"/>
          <w:szCs w:val="24"/>
        </w:rPr>
        <w:t>Does not include a bounty provision, only anti-retaliation protections.</w:t>
      </w:r>
    </w:p>
    <w:p w:rsidR="00A56F21" w:rsidRPr="00F61386" w:rsidRDefault="00A56F21" w:rsidP="00A56F21">
      <w:pPr>
        <w:pStyle w:val="ListParagraph"/>
        <w:numPr>
          <w:ilvl w:val="2"/>
          <w:numId w:val="1"/>
        </w:numPr>
        <w:rPr>
          <w:rFonts w:ascii="Tw Cen MT" w:hAnsi="Tw Cen MT" w:cs="Times New Roman"/>
          <w:sz w:val="24"/>
          <w:szCs w:val="24"/>
        </w:rPr>
      </w:pPr>
      <w:r w:rsidRPr="00F61386">
        <w:rPr>
          <w:rFonts w:ascii="Tw Cen MT" w:hAnsi="Tw Cen MT" w:cs="Times New Roman"/>
          <w:sz w:val="24"/>
          <w:szCs w:val="24"/>
        </w:rPr>
        <w:t>A “whistleblower” i</w:t>
      </w:r>
      <w:r w:rsidRPr="00F61386">
        <w:rPr>
          <w:rFonts w:ascii="Tw Cen MT" w:hAnsi="Tw Cen MT"/>
          <w:sz w:val="24"/>
          <w:szCs w:val="24"/>
        </w:rPr>
        <w:t>s an employee of a public company who provides information regarding any conduct that the employee reasonably believes constitutes a violation of:</w:t>
      </w:r>
    </w:p>
    <w:p w:rsidR="00A56F21" w:rsidRPr="00F61386" w:rsidRDefault="00A56F21" w:rsidP="00A56F21">
      <w:pPr>
        <w:pStyle w:val="ListParagraph"/>
        <w:numPr>
          <w:ilvl w:val="3"/>
          <w:numId w:val="1"/>
        </w:numPr>
        <w:rPr>
          <w:rFonts w:ascii="Tw Cen MT" w:hAnsi="Tw Cen MT" w:cs="Times New Roman"/>
          <w:sz w:val="24"/>
          <w:szCs w:val="24"/>
        </w:rPr>
      </w:pPr>
      <w:r w:rsidRPr="00F61386">
        <w:rPr>
          <w:rFonts w:ascii="Tw Cen MT" w:hAnsi="Tw Cen MT"/>
          <w:sz w:val="24"/>
          <w:szCs w:val="24"/>
        </w:rPr>
        <w:t xml:space="preserve">any rule or regulation of the SEC;  </w:t>
      </w:r>
    </w:p>
    <w:p w:rsidR="00A56F21" w:rsidRPr="00F61386" w:rsidRDefault="00A56F21" w:rsidP="00A56F21">
      <w:pPr>
        <w:pStyle w:val="ListParagraph"/>
        <w:numPr>
          <w:ilvl w:val="3"/>
          <w:numId w:val="1"/>
        </w:numPr>
        <w:rPr>
          <w:rFonts w:ascii="Tw Cen MT" w:hAnsi="Tw Cen MT" w:cs="Times New Roman"/>
          <w:sz w:val="24"/>
          <w:szCs w:val="24"/>
        </w:rPr>
      </w:pPr>
      <w:r w:rsidRPr="00F61386">
        <w:rPr>
          <w:rFonts w:ascii="Tw Cen MT" w:hAnsi="Tw Cen MT"/>
          <w:sz w:val="24"/>
          <w:szCs w:val="24"/>
        </w:rPr>
        <w:t>federal criminal provisions relating to securities, bank, mail, or wire fraud; or</w:t>
      </w:r>
    </w:p>
    <w:p w:rsidR="00A56F21" w:rsidRPr="00F61386" w:rsidRDefault="00A56F21" w:rsidP="00A56F21">
      <w:pPr>
        <w:pStyle w:val="ListParagraph"/>
        <w:numPr>
          <w:ilvl w:val="3"/>
          <w:numId w:val="1"/>
        </w:numPr>
        <w:rPr>
          <w:rFonts w:ascii="Tw Cen MT" w:hAnsi="Tw Cen MT" w:cs="Times New Roman"/>
          <w:sz w:val="24"/>
          <w:szCs w:val="24"/>
        </w:rPr>
      </w:pPr>
      <w:r w:rsidRPr="00F61386">
        <w:rPr>
          <w:rFonts w:ascii="Tw Cen MT" w:hAnsi="Tw Cen MT"/>
          <w:sz w:val="24"/>
          <w:szCs w:val="24"/>
        </w:rPr>
        <w:t>any federal law relating to fraud against shareholders.</w:t>
      </w:r>
    </w:p>
    <w:p w:rsidR="00A56F21" w:rsidRPr="00F61386" w:rsidRDefault="00A56F21" w:rsidP="00A56F21">
      <w:pPr>
        <w:pStyle w:val="ListParagraph"/>
        <w:numPr>
          <w:ilvl w:val="2"/>
          <w:numId w:val="1"/>
        </w:numPr>
        <w:rPr>
          <w:rFonts w:ascii="Tw Cen MT" w:hAnsi="Tw Cen MT" w:cs="Times New Roman"/>
          <w:sz w:val="24"/>
          <w:szCs w:val="24"/>
        </w:rPr>
      </w:pPr>
      <w:r w:rsidRPr="00F61386">
        <w:rPr>
          <w:rFonts w:ascii="Tw Cen MT" w:hAnsi="Tw Cen MT" w:cs="Times New Roman"/>
          <w:sz w:val="24"/>
          <w:szCs w:val="24"/>
        </w:rPr>
        <w:t>An employee who provides such information to a federal regulatory or law enforcement agency, to a member or committee of Congress, or to a person with supervisory authority over the employee is protected.</w:t>
      </w:r>
      <w:r w:rsidR="000E7471" w:rsidRPr="00F61386">
        <w:rPr>
          <w:rFonts w:ascii="Tw Cen MT" w:hAnsi="Tw Cen MT" w:cs="Times New Roman"/>
          <w:sz w:val="24"/>
          <w:szCs w:val="24"/>
        </w:rPr>
        <w:t xml:space="preserve">  18 U.S.C. § 1514A.</w:t>
      </w:r>
    </w:p>
    <w:p w:rsidR="0083321B" w:rsidRPr="00F61386" w:rsidRDefault="0083321B" w:rsidP="0083321B">
      <w:pPr>
        <w:pStyle w:val="ListParagraph"/>
        <w:ind w:left="2160"/>
        <w:rPr>
          <w:rFonts w:ascii="Tw Cen MT" w:hAnsi="Tw Cen MT" w:cs="Times New Roman"/>
          <w:sz w:val="24"/>
          <w:szCs w:val="24"/>
        </w:rPr>
      </w:pPr>
    </w:p>
    <w:p w:rsidR="00A56F21" w:rsidRPr="00F61386" w:rsidRDefault="00A56F21" w:rsidP="00A56F21">
      <w:pPr>
        <w:pStyle w:val="ListParagraph"/>
        <w:numPr>
          <w:ilvl w:val="2"/>
          <w:numId w:val="1"/>
        </w:numPr>
        <w:rPr>
          <w:rFonts w:ascii="Tw Cen MT" w:hAnsi="Tw Cen MT" w:cs="Times New Roman"/>
          <w:b/>
          <w:sz w:val="24"/>
          <w:szCs w:val="24"/>
        </w:rPr>
      </w:pPr>
      <w:r w:rsidRPr="00F61386">
        <w:rPr>
          <w:rFonts w:ascii="Tw Cen MT" w:hAnsi="Tw Cen MT" w:cs="Times New Roman"/>
          <w:b/>
          <w:sz w:val="24"/>
          <w:szCs w:val="24"/>
        </w:rPr>
        <w:t>Procedure</w:t>
      </w:r>
    </w:p>
    <w:p w:rsidR="00A56F21" w:rsidRPr="00F61386" w:rsidRDefault="00A56F21" w:rsidP="00A56F21">
      <w:pPr>
        <w:pStyle w:val="ListParagraph"/>
        <w:numPr>
          <w:ilvl w:val="3"/>
          <w:numId w:val="1"/>
        </w:numPr>
        <w:rPr>
          <w:rFonts w:ascii="Tw Cen MT" w:hAnsi="Tw Cen MT" w:cs="Times New Roman"/>
          <w:sz w:val="24"/>
          <w:szCs w:val="24"/>
        </w:rPr>
      </w:pPr>
      <w:r w:rsidRPr="00F61386">
        <w:rPr>
          <w:rFonts w:ascii="Tw Cen MT" w:hAnsi="Tw Cen MT"/>
          <w:sz w:val="24"/>
          <w:szCs w:val="24"/>
        </w:rPr>
        <w:t>An employee who believes he or she has been discharged, demoted, suspended, threatened, harassed, coerced, or blacklisted as a consequence of whistleblowing may file a complaint with OSHA.</w:t>
      </w:r>
    </w:p>
    <w:p w:rsidR="00A56F21" w:rsidRPr="00F61386" w:rsidRDefault="00A56F21" w:rsidP="00A56F21">
      <w:pPr>
        <w:pStyle w:val="ListParagraph"/>
        <w:numPr>
          <w:ilvl w:val="3"/>
          <w:numId w:val="1"/>
        </w:numPr>
        <w:rPr>
          <w:rFonts w:ascii="Tw Cen MT" w:hAnsi="Tw Cen MT" w:cs="Times New Roman"/>
          <w:sz w:val="24"/>
          <w:szCs w:val="24"/>
        </w:rPr>
      </w:pPr>
      <w:r w:rsidRPr="00F61386">
        <w:rPr>
          <w:rFonts w:ascii="Tw Cen MT" w:hAnsi="Tw Cen MT"/>
          <w:sz w:val="24"/>
          <w:szCs w:val="24"/>
        </w:rPr>
        <w:t>Deadline was previously 90 days, but after Dodd-Frank it’s 180 days.</w:t>
      </w:r>
      <w:r w:rsidR="002C467E" w:rsidRPr="00F61386">
        <w:rPr>
          <w:rFonts w:ascii="Tw Cen MT" w:hAnsi="Tw Cen MT"/>
          <w:sz w:val="24"/>
          <w:szCs w:val="24"/>
        </w:rPr>
        <w:t xml:space="preserve">  18 U.S.C. § 1514A(b)(2)(D).</w:t>
      </w:r>
    </w:p>
    <w:p w:rsidR="00A56F21" w:rsidRPr="00F61386" w:rsidRDefault="00A56F21" w:rsidP="00A56F21">
      <w:pPr>
        <w:pStyle w:val="ListParagraph"/>
        <w:numPr>
          <w:ilvl w:val="3"/>
          <w:numId w:val="1"/>
        </w:numPr>
        <w:rPr>
          <w:rFonts w:ascii="Tw Cen MT" w:hAnsi="Tw Cen MT" w:cs="Times New Roman"/>
          <w:sz w:val="24"/>
          <w:szCs w:val="24"/>
        </w:rPr>
      </w:pPr>
      <w:r w:rsidRPr="00F61386">
        <w:rPr>
          <w:rFonts w:ascii="Tw Cen MT" w:hAnsi="Tw Cen MT"/>
          <w:sz w:val="24"/>
          <w:szCs w:val="24"/>
        </w:rPr>
        <w:t>If Sec’y of Labor fails to issue a final decision within 180 days of the filing of the complaint, the complainant may bring an action for de novo review in federal district court.</w:t>
      </w:r>
      <w:r w:rsidR="002C467E" w:rsidRPr="00F61386">
        <w:rPr>
          <w:rFonts w:ascii="Tw Cen MT" w:hAnsi="Tw Cen MT"/>
          <w:sz w:val="24"/>
          <w:szCs w:val="24"/>
        </w:rPr>
        <w:t xml:space="preserve">  18 U.S.C. § 1514A(b)(1)(B).</w:t>
      </w:r>
    </w:p>
    <w:p w:rsidR="0083321B" w:rsidRPr="00F61386" w:rsidRDefault="0083321B" w:rsidP="0083321B">
      <w:pPr>
        <w:pStyle w:val="ListParagraph"/>
        <w:ind w:left="2880"/>
        <w:rPr>
          <w:rFonts w:ascii="Tw Cen MT" w:hAnsi="Tw Cen MT" w:cs="Times New Roman"/>
          <w:sz w:val="24"/>
          <w:szCs w:val="24"/>
        </w:rPr>
      </w:pPr>
    </w:p>
    <w:p w:rsidR="00D45CAF" w:rsidRPr="00F61386" w:rsidRDefault="00D45CAF" w:rsidP="00D45CAF">
      <w:pPr>
        <w:pStyle w:val="ListParagraph"/>
        <w:numPr>
          <w:ilvl w:val="2"/>
          <w:numId w:val="1"/>
        </w:numPr>
        <w:rPr>
          <w:rFonts w:ascii="Tw Cen MT" w:hAnsi="Tw Cen MT" w:cs="Times New Roman"/>
          <w:sz w:val="24"/>
          <w:szCs w:val="24"/>
        </w:rPr>
      </w:pPr>
      <w:r w:rsidRPr="00552F8B">
        <w:rPr>
          <w:rFonts w:ascii="Tw Cen MT" w:hAnsi="Tw Cen MT" w:cs="Times New Roman"/>
          <w:b/>
          <w:i/>
          <w:sz w:val="24"/>
          <w:szCs w:val="24"/>
        </w:rPr>
        <w:t>Prima facie</w:t>
      </w:r>
      <w:r w:rsidRPr="00552F8B">
        <w:rPr>
          <w:rFonts w:ascii="Tw Cen MT" w:hAnsi="Tw Cen MT" w:cs="Times New Roman"/>
          <w:b/>
          <w:sz w:val="24"/>
          <w:szCs w:val="24"/>
        </w:rPr>
        <w:t xml:space="preserve"> case</w:t>
      </w:r>
    </w:p>
    <w:p w:rsidR="00D45CAF" w:rsidRPr="00F61386" w:rsidRDefault="00D45CAF" w:rsidP="00D45CAF">
      <w:pPr>
        <w:pStyle w:val="ListParagraph"/>
        <w:numPr>
          <w:ilvl w:val="3"/>
          <w:numId w:val="1"/>
        </w:numPr>
        <w:rPr>
          <w:rFonts w:ascii="Tw Cen MT" w:hAnsi="Tw Cen MT" w:cs="Times New Roman"/>
          <w:sz w:val="24"/>
          <w:szCs w:val="24"/>
        </w:rPr>
      </w:pPr>
      <w:r w:rsidRPr="00F61386">
        <w:rPr>
          <w:rFonts w:ascii="Tw Cen MT" w:hAnsi="Tw Cen MT" w:cs="Times New Roman"/>
          <w:sz w:val="24"/>
          <w:szCs w:val="24"/>
        </w:rPr>
        <w:t>Employee engaged in a protected activity;</w:t>
      </w:r>
    </w:p>
    <w:p w:rsidR="00D45CAF" w:rsidRPr="00F61386" w:rsidRDefault="00D45CAF" w:rsidP="00D45CAF">
      <w:pPr>
        <w:pStyle w:val="ListParagraph"/>
        <w:numPr>
          <w:ilvl w:val="3"/>
          <w:numId w:val="1"/>
        </w:numPr>
        <w:rPr>
          <w:rFonts w:ascii="Tw Cen MT" w:hAnsi="Tw Cen MT" w:cs="Times New Roman"/>
          <w:sz w:val="24"/>
          <w:szCs w:val="24"/>
        </w:rPr>
      </w:pPr>
      <w:r w:rsidRPr="00F61386">
        <w:rPr>
          <w:rFonts w:ascii="Tw Cen MT" w:hAnsi="Tw Cen MT" w:cs="Times New Roman"/>
          <w:sz w:val="24"/>
          <w:szCs w:val="24"/>
        </w:rPr>
        <w:t>Employer knew or suspected that the employee engaged in a protected activity;</w:t>
      </w:r>
    </w:p>
    <w:p w:rsidR="00D45CAF" w:rsidRPr="00F61386" w:rsidRDefault="002127F2" w:rsidP="00D45CAF">
      <w:pPr>
        <w:pStyle w:val="ListParagraph"/>
        <w:numPr>
          <w:ilvl w:val="3"/>
          <w:numId w:val="1"/>
        </w:numPr>
        <w:rPr>
          <w:rFonts w:ascii="Tw Cen MT" w:hAnsi="Tw Cen MT" w:cs="Times New Roman"/>
          <w:sz w:val="24"/>
          <w:szCs w:val="24"/>
        </w:rPr>
      </w:pPr>
      <w:r w:rsidRPr="00F61386">
        <w:rPr>
          <w:rFonts w:ascii="Tw Cen MT" w:hAnsi="Tw Cen MT" w:cs="Times New Roman"/>
          <w:sz w:val="24"/>
          <w:szCs w:val="24"/>
        </w:rPr>
        <w:t>Employee suffered an unfavorable personnel action; and</w:t>
      </w:r>
    </w:p>
    <w:p w:rsidR="002127F2" w:rsidRPr="00F61386" w:rsidRDefault="002127F2" w:rsidP="00D45CAF">
      <w:pPr>
        <w:pStyle w:val="ListParagraph"/>
        <w:numPr>
          <w:ilvl w:val="3"/>
          <w:numId w:val="1"/>
        </w:numPr>
        <w:rPr>
          <w:rFonts w:ascii="Tw Cen MT" w:hAnsi="Tw Cen MT" w:cs="Times New Roman"/>
          <w:sz w:val="24"/>
          <w:szCs w:val="24"/>
        </w:rPr>
      </w:pPr>
      <w:r w:rsidRPr="00F61386">
        <w:rPr>
          <w:rFonts w:ascii="Tw Cen MT" w:hAnsi="Tw Cen MT" w:cs="Times New Roman"/>
          <w:sz w:val="24"/>
          <w:szCs w:val="24"/>
        </w:rPr>
        <w:t>The circumstances were sufficient to raise the inference that the protected activity was a contributing factor in the unfavorable action.</w:t>
      </w:r>
    </w:p>
    <w:p w:rsidR="0083321B" w:rsidRPr="00F61386" w:rsidRDefault="0083321B" w:rsidP="0083321B">
      <w:pPr>
        <w:pStyle w:val="ListParagraph"/>
        <w:ind w:left="2880"/>
        <w:rPr>
          <w:rFonts w:ascii="Tw Cen MT" w:hAnsi="Tw Cen MT" w:cs="Times New Roman"/>
          <w:sz w:val="24"/>
          <w:szCs w:val="24"/>
        </w:rPr>
      </w:pPr>
    </w:p>
    <w:p w:rsidR="002127F2" w:rsidRPr="00F61386" w:rsidRDefault="002127F2" w:rsidP="002127F2">
      <w:pPr>
        <w:pStyle w:val="ListParagraph"/>
        <w:numPr>
          <w:ilvl w:val="2"/>
          <w:numId w:val="1"/>
        </w:numPr>
        <w:rPr>
          <w:rFonts w:ascii="Tw Cen MT" w:hAnsi="Tw Cen MT" w:cs="Times New Roman"/>
          <w:sz w:val="24"/>
          <w:szCs w:val="24"/>
        </w:rPr>
      </w:pPr>
      <w:r w:rsidRPr="00F61386">
        <w:rPr>
          <w:rFonts w:ascii="Tw Cen MT" w:hAnsi="Tw Cen MT"/>
          <w:sz w:val="24"/>
          <w:szCs w:val="24"/>
        </w:rPr>
        <w:t xml:space="preserve">If the alleged protected activity is that the employee provided information, it </w:t>
      </w:r>
      <w:r w:rsidRPr="00F61386">
        <w:rPr>
          <w:rFonts w:ascii="Tw Cen MT" w:hAnsi="Tw Cen MT"/>
          <w:i/>
          <w:sz w:val="24"/>
          <w:szCs w:val="24"/>
        </w:rPr>
        <w:t>does not matter</w:t>
      </w:r>
      <w:r w:rsidRPr="00F61386">
        <w:rPr>
          <w:rFonts w:ascii="Tw Cen MT" w:hAnsi="Tw Cen MT"/>
          <w:sz w:val="24"/>
          <w:szCs w:val="24"/>
        </w:rPr>
        <w:t xml:space="preserve"> whether the employer actually violated the specified laws and regulations; the employee must only have an objectively reasonable belief that the employer’s conduct constitutes such a violation.</w:t>
      </w:r>
      <w:r w:rsidR="0083321B" w:rsidRPr="00F61386">
        <w:rPr>
          <w:rFonts w:ascii="Tw Cen MT" w:hAnsi="Tw Cen MT"/>
          <w:sz w:val="24"/>
          <w:szCs w:val="24"/>
        </w:rPr>
        <w:t xml:space="preserve">  18 U.S.C. § 1514A(a)(1); </w:t>
      </w:r>
      <w:r w:rsidR="0083321B" w:rsidRPr="00F61386">
        <w:rPr>
          <w:rFonts w:ascii="Tw Cen MT" w:hAnsi="Tw Cen MT"/>
          <w:i/>
          <w:sz w:val="24"/>
          <w:szCs w:val="24"/>
        </w:rPr>
        <w:t>Wiest v. Lynch</w:t>
      </w:r>
      <w:r w:rsidR="0083321B" w:rsidRPr="00F61386">
        <w:rPr>
          <w:rFonts w:ascii="Tw Cen MT" w:hAnsi="Tw Cen MT"/>
          <w:sz w:val="24"/>
          <w:szCs w:val="24"/>
        </w:rPr>
        <w:t>, 710 F.3d 121 (3d Cir. 2013).</w:t>
      </w:r>
      <w:r w:rsidR="00794C7D" w:rsidRPr="00F61386">
        <w:rPr>
          <w:rFonts w:ascii="Tw Cen MT" w:hAnsi="Tw Cen MT"/>
          <w:sz w:val="24"/>
          <w:szCs w:val="24"/>
        </w:rPr>
        <w:t xml:space="preserve">   But mere speculation is insufficient.  </w:t>
      </w:r>
      <w:r w:rsidR="00794C7D" w:rsidRPr="00F61386">
        <w:rPr>
          <w:rFonts w:ascii="Tw Cen MT" w:hAnsi="Tw Cen MT"/>
          <w:i/>
          <w:sz w:val="24"/>
          <w:szCs w:val="24"/>
        </w:rPr>
        <w:t>Safarian v. American DG Energy, Inc.</w:t>
      </w:r>
      <w:r w:rsidR="00794C7D" w:rsidRPr="00F61386">
        <w:rPr>
          <w:rFonts w:ascii="Tw Cen MT" w:hAnsi="Tw Cen MT"/>
          <w:sz w:val="24"/>
          <w:szCs w:val="24"/>
        </w:rPr>
        <w:t>, 2014 U.S.</w:t>
      </w:r>
      <w:r w:rsidR="00C631FF" w:rsidRPr="00F61386">
        <w:rPr>
          <w:rFonts w:ascii="Tw Cen MT" w:hAnsi="Tw Cen MT"/>
          <w:sz w:val="24"/>
          <w:szCs w:val="24"/>
        </w:rPr>
        <w:t xml:space="preserve"> Dist. LEXIS 59684 (D.N.J. Apr.</w:t>
      </w:r>
      <w:r w:rsidR="00794C7D" w:rsidRPr="00F61386">
        <w:rPr>
          <w:rFonts w:ascii="Tw Cen MT" w:hAnsi="Tw Cen MT"/>
          <w:sz w:val="24"/>
          <w:szCs w:val="24"/>
        </w:rPr>
        <w:t xml:space="preserve"> 30, 2014).</w:t>
      </w:r>
    </w:p>
    <w:p w:rsidR="00B357FB" w:rsidRPr="00F61386" w:rsidRDefault="00B357FB" w:rsidP="00B357FB">
      <w:pPr>
        <w:pStyle w:val="ListParagraph"/>
        <w:ind w:left="2160"/>
        <w:rPr>
          <w:rFonts w:ascii="Tw Cen MT" w:hAnsi="Tw Cen MT" w:cs="Times New Roman"/>
          <w:sz w:val="24"/>
          <w:szCs w:val="24"/>
        </w:rPr>
      </w:pPr>
    </w:p>
    <w:p w:rsidR="00B357FB" w:rsidRPr="00F61386" w:rsidRDefault="00B357FB" w:rsidP="002127F2">
      <w:pPr>
        <w:pStyle w:val="ListParagraph"/>
        <w:numPr>
          <w:ilvl w:val="2"/>
          <w:numId w:val="1"/>
        </w:numPr>
        <w:rPr>
          <w:rFonts w:ascii="Tw Cen MT" w:hAnsi="Tw Cen MT" w:cs="Times New Roman"/>
          <w:sz w:val="24"/>
          <w:szCs w:val="24"/>
        </w:rPr>
      </w:pPr>
      <w:r w:rsidRPr="00F61386">
        <w:rPr>
          <w:rFonts w:ascii="Tw Cen MT" w:hAnsi="Tw Cen MT"/>
          <w:b/>
          <w:sz w:val="24"/>
          <w:szCs w:val="24"/>
        </w:rPr>
        <w:t>Sarbanes-Oxley Section 1107</w:t>
      </w:r>
      <w:r w:rsidRPr="00F61386">
        <w:rPr>
          <w:rFonts w:ascii="Tw Cen MT" w:hAnsi="Tw Cen MT"/>
          <w:sz w:val="24"/>
          <w:szCs w:val="24"/>
        </w:rPr>
        <w:t xml:space="preserve"> – imposes criminal penalties for retaliation against an employee who reports accounting fraud</w:t>
      </w:r>
      <w:r w:rsidR="00F95CDE" w:rsidRPr="00F61386">
        <w:rPr>
          <w:rFonts w:ascii="Tw Cen MT" w:hAnsi="Tw Cen MT"/>
          <w:sz w:val="24"/>
          <w:szCs w:val="24"/>
        </w:rPr>
        <w:t xml:space="preserve"> (or any federal offense)</w:t>
      </w:r>
      <w:r w:rsidRPr="00F61386">
        <w:rPr>
          <w:rFonts w:ascii="Tw Cen MT" w:hAnsi="Tw Cen MT"/>
          <w:sz w:val="24"/>
          <w:szCs w:val="24"/>
        </w:rPr>
        <w:t xml:space="preserve"> to a law enforcement officer.</w:t>
      </w:r>
      <w:r w:rsidR="00697873" w:rsidRPr="00F61386">
        <w:rPr>
          <w:rFonts w:ascii="Tw Cen MT" w:hAnsi="Tw Cen MT"/>
          <w:sz w:val="24"/>
          <w:szCs w:val="24"/>
        </w:rPr>
        <w:t xml:space="preserve">  18 U.S.C. § 1513(e).</w:t>
      </w:r>
    </w:p>
    <w:p w:rsidR="00A56F21" w:rsidRPr="00F61386" w:rsidRDefault="00A56F21" w:rsidP="00A56F21">
      <w:pPr>
        <w:pStyle w:val="ListParagraph"/>
        <w:ind w:left="1080"/>
        <w:rPr>
          <w:rFonts w:ascii="Tw Cen MT" w:hAnsi="Tw Cen MT" w:cs="Times New Roman"/>
          <w:sz w:val="24"/>
          <w:szCs w:val="24"/>
        </w:rPr>
      </w:pPr>
    </w:p>
    <w:p w:rsidR="00B64391" w:rsidRPr="00F61386" w:rsidRDefault="00B64391" w:rsidP="008D2D85">
      <w:pPr>
        <w:pStyle w:val="ListParagraph"/>
        <w:numPr>
          <w:ilvl w:val="0"/>
          <w:numId w:val="1"/>
        </w:numPr>
        <w:rPr>
          <w:rFonts w:ascii="Tw Cen MT" w:hAnsi="Tw Cen MT" w:cs="Times New Roman"/>
          <w:sz w:val="24"/>
          <w:szCs w:val="24"/>
        </w:rPr>
      </w:pPr>
      <w:r w:rsidRPr="00F61386">
        <w:rPr>
          <w:rFonts w:ascii="Tw Cen MT" w:hAnsi="Tw Cen MT" w:cs="Times New Roman"/>
          <w:sz w:val="24"/>
          <w:szCs w:val="24"/>
        </w:rPr>
        <w:t>Dodd-Frank Section 922 added Section 21F of the Securities Exchange Act of 1934 in July 2010.</w:t>
      </w:r>
    </w:p>
    <w:p w:rsidR="00B64391" w:rsidRPr="00F61386" w:rsidRDefault="00B64391" w:rsidP="008D2D85">
      <w:pPr>
        <w:pStyle w:val="ListParagraph"/>
        <w:numPr>
          <w:ilvl w:val="1"/>
          <w:numId w:val="1"/>
        </w:numPr>
        <w:rPr>
          <w:rFonts w:ascii="Tw Cen MT" w:hAnsi="Tw Cen MT" w:cs="Times New Roman"/>
          <w:sz w:val="24"/>
          <w:szCs w:val="24"/>
        </w:rPr>
      </w:pPr>
      <w:r w:rsidRPr="00F61386">
        <w:rPr>
          <w:rFonts w:ascii="Tw Cen MT" w:hAnsi="Tw Cen MT" w:cs="Times New Roman"/>
          <w:sz w:val="24"/>
          <w:szCs w:val="24"/>
        </w:rPr>
        <w:t>Required the SEC to establish a whistleblower program to pay financial rewards to individuals who provide information about possible securities violations to the SEC.</w:t>
      </w:r>
    </w:p>
    <w:p w:rsidR="00B64391" w:rsidRPr="00F61386" w:rsidRDefault="00B64391" w:rsidP="008D2D85">
      <w:pPr>
        <w:pStyle w:val="ListParagraph"/>
        <w:numPr>
          <w:ilvl w:val="1"/>
          <w:numId w:val="1"/>
        </w:numPr>
        <w:rPr>
          <w:rFonts w:ascii="Tw Cen MT" w:hAnsi="Tw Cen MT" w:cs="Times New Roman"/>
          <w:sz w:val="24"/>
          <w:szCs w:val="24"/>
        </w:rPr>
      </w:pPr>
      <w:r w:rsidRPr="00F61386">
        <w:rPr>
          <w:rFonts w:ascii="Tw Cen MT" w:hAnsi="Tw Cen MT" w:cs="Times New Roman"/>
          <w:sz w:val="24"/>
          <w:szCs w:val="24"/>
        </w:rPr>
        <w:t>Unlike with the Insider Trading Bounty program, this program would not entrust discretion in paying these awards to the SEC.   The statute mandates payment of 10-30% of the monetary sanctions from an enforcement action generated by a whistle</w:t>
      </w:r>
      <w:r w:rsidR="00794C7D" w:rsidRPr="00F61386">
        <w:rPr>
          <w:rFonts w:ascii="Tw Cen MT" w:hAnsi="Tw Cen MT" w:cs="Times New Roman"/>
          <w:sz w:val="24"/>
          <w:szCs w:val="24"/>
        </w:rPr>
        <w:t>blower’s tip.  Section 21F</w:t>
      </w:r>
      <w:r w:rsidRPr="00F61386">
        <w:rPr>
          <w:rFonts w:ascii="Tw Cen MT" w:hAnsi="Tw Cen MT" w:cs="Times New Roman"/>
          <w:sz w:val="24"/>
          <w:szCs w:val="24"/>
        </w:rPr>
        <w:t>(b)(1).</w:t>
      </w:r>
    </w:p>
    <w:p w:rsidR="002C467E" w:rsidRPr="00F61386" w:rsidRDefault="002C467E" w:rsidP="002C467E">
      <w:pPr>
        <w:pStyle w:val="ListParagraph"/>
        <w:ind w:left="1440"/>
        <w:rPr>
          <w:rFonts w:ascii="Tw Cen MT" w:hAnsi="Tw Cen MT" w:cs="Times New Roman"/>
          <w:sz w:val="24"/>
          <w:szCs w:val="24"/>
        </w:rPr>
      </w:pPr>
    </w:p>
    <w:p w:rsidR="00B64391" w:rsidRPr="00F61386" w:rsidRDefault="00B64391" w:rsidP="008D2D85">
      <w:pPr>
        <w:pStyle w:val="ListParagraph"/>
        <w:numPr>
          <w:ilvl w:val="1"/>
          <w:numId w:val="1"/>
        </w:numPr>
        <w:rPr>
          <w:rFonts w:ascii="Tw Cen MT" w:hAnsi="Tw Cen MT" w:cs="Times New Roman"/>
          <w:sz w:val="24"/>
          <w:szCs w:val="24"/>
        </w:rPr>
      </w:pPr>
      <w:r w:rsidRPr="00F61386">
        <w:rPr>
          <w:rFonts w:ascii="Tw Cen MT" w:hAnsi="Tw Cen MT" w:cs="Times New Roman"/>
          <w:sz w:val="24"/>
          <w:szCs w:val="24"/>
        </w:rPr>
        <w:t xml:space="preserve">Intense lobbying effort regarding the ensuring rules, largely around </w:t>
      </w:r>
      <w:r w:rsidR="00C631FF" w:rsidRPr="00F61386">
        <w:rPr>
          <w:rFonts w:ascii="Tw Cen MT" w:hAnsi="Tw Cen MT" w:cs="Times New Roman"/>
          <w:sz w:val="24"/>
          <w:szCs w:val="24"/>
        </w:rPr>
        <w:t>whether</w:t>
      </w:r>
      <w:r w:rsidRPr="00F61386">
        <w:rPr>
          <w:rFonts w:ascii="Tw Cen MT" w:hAnsi="Tw Cen MT" w:cs="Times New Roman"/>
          <w:sz w:val="24"/>
          <w:szCs w:val="24"/>
        </w:rPr>
        <w:t xml:space="preserve"> whistleblowers </w:t>
      </w:r>
      <w:r w:rsidR="00C631FF" w:rsidRPr="00F61386">
        <w:rPr>
          <w:rFonts w:ascii="Tw Cen MT" w:hAnsi="Tw Cen MT" w:cs="Times New Roman"/>
          <w:sz w:val="24"/>
          <w:szCs w:val="24"/>
        </w:rPr>
        <w:t xml:space="preserve">should </w:t>
      </w:r>
      <w:r w:rsidRPr="00F61386">
        <w:rPr>
          <w:rFonts w:ascii="Tw Cen MT" w:hAnsi="Tw Cen MT" w:cs="Times New Roman"/>
          <w:sz w:val="24"/>
          <w:szCs w:val="24"/>
        </w:rPr>
        <w:t>first be required to report violations to corporate compliance departments before reporting them to the SEC.  Ultimately, the Commission wrote the whistleblower rules not to require internal reporting, but to encourage it.</w:t>
      </w:r>
    </w:p>
    <w:p w:rsidR="00C631FF" w:rsidRPr="00F61386" w:rsidRDefault="00C631FF" w:rsidP="00C631FF">
      <w:pPr>
        <w:pStyle w:val="ListParagraph"/>
        <w:rPr>
          <w:rFonts w:ascii="Tw Cen MT" w:hAnsi="Tw Cen MT" w:cs="Times New Roman"/>
          <w:sz w:val="24"/>
          <w:szCs w:val="24"/>
        </w:rPr>
      </w:pPr>
    </w:p>
    <w:p w:rsidR="00B64391" w:rsidRPr="00F61386" w:rsidRDefault="00B64391" w:rsidP="008D2D85">
      <w:pPr>
        <w:pStyle w:val="ListParagraph"/>
        <w:numPr>
          <w:ilvl w:val="1"/>
          <w:numId w:val="1"/>
        </w:numPr>
        <w:rPr>
          <w:rFonts w:ascii="Tw Cen MT" w:hAnsi="Tw Cen MT" w:cs="Times New Roman"/>
          <w:sz w:val="24"/>
          <w:szCs w:val="24"/>
        </w:rPr>
      </w:pPr>
      <w:r w:rsidRPr="00F61386">
        <w:rPr>
          <w:rFonts w:ascii="Tw Cen MT" w:hAnsi="Tw Cen MT" w:cs="Times New Roman"/>
          <w:sz w:val="24"/>
          <w:szCs w:val="24"/>
        </w:rPr>
        <w:t>Sean McKessy hired in early 2011.</w:t>
      </w:r>
    </w:p>
    <w:p w:rsidR="00B64391" w:rsidRPr="00F61386" w:rsidRDefault="00B64391" w:rsidP="00B64391">
      <w:pPr>
        <w:pStyle w:val="ListParagraph"/>
        <w:ind w:left="1440"/>
        <w:rPr>
          <w:rFonts w:ascii="Tw Cen MT" w:hAnsi="Tw Cen MT" w:cs="Times New Roman"/>
          <w:sz w:val="24"/>
          <w:szCs w:val="24"/>
        </w:rPr>
      </w:pPr>
    </w:p>
    <w:p w:rsidR="00B64391" w:rsidRPr="00F61386" w:rsidRDefault="00B64391" w:rsidP="008D2D85">
      <w:pPr>
        <w:pStyle w:val="ListParagraph"/>
        <w:numPr>
          <w:ilvl w:val="0"/>
          <w:numId w:val="1"/>
        </w:numPr>
        <w:rPr>
          <w:rFonts w:ascii="Tw Cen MT" w:hAnsi="Tw Cen MT" w:cs="Times New Roman"/>
          <w:sz w:val="24"/>
          <w:szCs w:val="24"/>
        </w:rPr>
      </w:pPr>
      <w:r w:rsidRPr="00F61386">
        <w:rPr>
          <w:rFonts w:ascii="Tw Cen MT" w:hAnsi="Tw Cen MT" w:cs="Times New Roman"/>
          <w:b/>
          <w:sz w:val="24"/>
          <w:szCs w:val="24"/>
        </w:rPr>
        <w:t xml:space="preserve">The </w:t>
      </w:r>
      <w:r w:rsidR="006B3FA1" w:rsidRPr="00F61386">
        <w:rPr>
          <w:rFonts w:ascii="Tw Cen MT" w:hAnsi="Tw Cen MT" w:cs="Times New Roman"/>
          <w:b/>
          <w:sz w:val="24"/>
          <w:szCs w:val="24"/>
        </w:rPr>
        <w:t>Bounty Provisions</w:t>
      </w:r>
    </w:p>
    <w:p w:rsidR="00B64391" w:rsidRPr="00F61386" w:rsidRDefault="00B64391" w:rsidP="008D2D85">
      <w:pPr>
        <w:pStyle w:val="ListParagraph"/>
        <w:numPr>
          <w:ilvl w:val="1"/>
          <w:numId w:val="1"/>
        </w:numPr>
        <w:rPr>
          <w:rFonts w:ascii="Tw Cen MT" w:hAnsi="Tw Cen MT" w:cs="Times New Roman"/>
          <w:sz w:val="24"/>
          <w:szCs w:val="24"/>
        </w:rPr>
      </w:pPr>
      <w:r w:rsidRPr="00F61386">
        <w:rPr>
          <w:rFonts w:ascii="Tw Cen MT" w:hAnsi="Tw Cen MT"/>
          <w:sz w:val="24"/>
          <w:szCs w:val="24"/>
        </w:rPr>
        <w:t>Who is affected?</w:t>
      </w:r>
    </w:p>
    <w:p w:rsidR="00B64391" w:rsidRPr="00F61386" w:rsidRDefault="00B64391" w:rsidP="008D2D85">
      <w:pPr>
        <w:pStyle w:val="ListParagraph"/>
        <w:numPr>
          <w:ilvl w:val="2"/>
          <w:numId w:val="1"/>
        </w:numPr>
        <w:rPr>
          <w:rFonts w:ascii="Tw Cen MT" w:hAnsi="Tw Cen MT" w:cs="Times New Roman"/>
          <w:sz w:val="24"/>
          <w:szCs w:val="24"/>
        </w:rPr>
      </w:pPr>
      <w:r w:rsidRPr="00F61386">
        <w:rPr>
          <w:rFonts w:ascii="Tw Cen MT" w:hAnsi="Tw Cen MT"/>
          <w:sz w:val="24"/>
          <w:szCs w:val="24"/>
        </w:rPr>
        <w:t>All entities and individuals that are subject to the federal securities laws.</w:t>
      </w:r>
    </w:p>
    <w:p w:rsidR="00B64391" w:rsidRPr="00F61386" w:rsidRDefault="00B64391" w:rsidP="008D2D85">
      <w:pPr>
        <w:pStyle w:val="ListParagraph"/>
        <w:numPr>
          <w:ilvl w:val="2"/>
          <w:numId w:val="1"/>
        </w:numPr>
        <w:rPr>
          <w:rFonts w:ascii="Tw Cen MT" w:hAnsi="Tw Cen MT" w:cs="Times New Roman"/>
          <w:sz w:val="24"/>
          <w:szCs w:val="24"/>
        </w:rPr>
      </w:pPr>
      <w:r w:rsidRPr="00F61386">
        <w:rPr>
          <w:rFonts w:ascii="Tw Cen MT" w:hAnsi="Tw Cen MT"/>
          <w:sz w:val="24"/>
          <w:szCs w:val="24"/>
        </w:rPr>
        <w:t>So, public companies and their subsidiaries and affiliates, broker-dealers, investment advisers, investment companies, hedge funds. Even private companies could be liable for aiding and abetting a violation.</w:t>
      </w:r>
    </w:p>
    <w:p w:rsidR="00D909B8" w:rsidRPr="00F61386" w:rsidRDefault="00D909B8" w:rsidP="00D909B8">
      <w:pPr>
        <w:pStyle w:val="ListParagraph"/>
        <w:ind w:left="2160"/>
        <w:rPr>
          <w:rFonts w:ascii="Tw Cen MT" w:hAnsi="Tw Cen MT" w:cs="Times New Roman"/>
          <w:sz w:val="24"/>
          <w:szCs w:val="24"/>
        </w:rPr>
      </w:pPr>
    </w:p>
    <w:p w:rsidR="006F33AF" w:rsidRPr="00F61386" w:rsidRDefault="006F33AF" w:rsidP="008D2D85">
      <w:pPr>
        <w:pStyle w:val="ListParagraph"/>
        <w:numPr>
          <w:ilvl w:val="2"/>
          <w:numId w:val="1"/>
        </w:numPr>
        <w:rPr>
          <w:rFonts w:ascii="Tw Cen MT" w:hAnsi="Tw Cen MT" w:cs="Times New Roman"/>
          <w:sz w:val="24"/>
          <w:szCs w:val="24"/>
        </w:rPr>
      </w:pPr>
      <w:r w:rsidRPr="00F61386">
        <w:rPr>
          <w:rFonts w:ascii="Tw Cen MT" w:hAnsi="Tw Cen MT"/>
          <w:sz w:val="24"/>
          <w:szCs w:val="24"/>
        </w:rPr>
        <w:t xml:space="preserve">Brief SOX aside: </w:t>
      </w:r>
      <w:r w:rsidRPr="00F61386">
        <w:rPr>
          <w:rFonts w:ascii="Tw Cen MT" w:hAnsi="Tw Cen MT"/>
          <w:i/>
          <w:sz w:val="24"/>
          <w:szCs w:val="24"/>
        </w:rPr>
        <w:t>Lawson v. FMR LLC</w:t>
      </w:r>
      <w:r w:rsidRPr="00F61386">
        <w:rPr>
          <w:rFonts w:ascii="Tw Cen MT" w:hAnsi="Tw Cen MT"/>
          <w:sz w:val="24"/>
          <w:szCs w:val="24"/>
        </w:rPr>
        <w:t>, 134 S. Ct. 1158 (2014).</w:t>
      </w:r>
    </w:p>
    <w:p w:rsidR="00D909B8" w:rsidRPr="00F61386" w:rsidRDefault="00D909B8" w:rsidP="00D909B8">
      <w:pPr>
        <w:pStyle w:val="ListParagraph"/>
        <w:numPr>
          <w:ilvl w:val="3"/>
          <w:numId w:val="1"/>
        </w:numPr>
        <w:rPr>
          <w:rFonts w:ascii="Tw Cen MT" w:hAnsi="Tw Cen MT" w:cs="Times New Roman"/>
          <w:sz w:val="24"/>
          <w:szCs w:val="24"/>
        </w:rPr>
      </w:pPr>
      <w:r w:rsidRPr="00F61386">
        <w:rPr>
          <w:rFonts w:ascii="Tw Cen MT" w:hAnsi="Tw Cen MT" w:cs="Times New Roman"/>
          <w:sz w:val="24"/>
          <w:szCs w:val="24"/>
        </w:rPr>
        <w:t>Facts: Publicly traded mutual fund had no employees, but the investment adviser to the fund did.  Plaintiff employees of the investment adviser blew the whistle on fraud detrimental to mutual fund investors.</w:t>
      </w:r>
    </w:p>
    <w:p w:rsidR="006F33AF" w:rsidRPr="00F61386" w:rsidRDefault="00D909B8" w:rsidP="006F33AF">
      <w:pPr>
        <w:pStyle w:val="ListParagraph"/>
        <w:numPr>
          <w:ilvl w:val="3"/>
          <w:numId w:val="1"/>
        </w:numPr>
        <w:rPr>
          <w:rFonts w:ascii="Tw Cen MT" w:hAnsi="Tw Cen MT" w:cs="Times New Roman"/>
          <w:sz w:val="24"/>
          <w:szCs w:val="24"/>
        </w:rPr>
      </w:pPr>
      <w:r w:rsidRPr="00F61386">
        <w:rPr>
          <w:rFonts w:ascii="Tw Cen MT" w:hAnsi="Tw Cen MT" w:cs="Times New Roman"/>
          <w:sz w:val="24"/>
          <w:szCs w:val="24"/>
        </w:rPr>
        <w:t>Held: Section 1514A protects employees of privately held contractor</w:t>
      </w:r>
      <w:r w:rsidR="0007772A">
        <w:rPr>
          <w:rFonts w:ascii="Tw Cen MT" w:hAnsi="Tw Cen MT" w:cs="Times New Roman"/>
          <w:sz w:val="24"/>
          <w:szCs w:val="24"/>
        </w:rPr>
        <w:t>s</w:t>
      </w:r>
      <w:r w:rsidRPr="00F61386">
        <w:rPr>
          <w:rFonts w:ascii="Tw Cen MT" w:hAnsi="Tw Cen MT" w:cs="Times New Roman"/>
          <w:sz w:val="24"/>
          <w:szCs w:val="24"/>
        </w:rPr>
        <w:t xml:space="preserve"> and subcontractors of public companies.</w:t>
      </w:r>
    </w:p>
    <w:p w:rsidR="00283FAE" w:rsidRPr="00F61386" w:rsidRDefault="00283FAE" w:rsidP="00283FAE">
      <w:pPr>
        <w:pStyle w:val="ListParagraph"/>
        <w:ind w:left="2880"/>
        <w:rPr>
          <w:rFonts w:ascii="Tw Cen MT" w:hAnsi="Tw Cen MT" w:cs="Times New Roman"/>
          <w:sz w:val="24"/>
          <w:szCs w:val="24"/>
        </w:rPr>
      </w:pPr>
    </w:p>
    <w:p w:rsidR="00D909B8" w:rsidRPr="00F61386" w:rsidRDefault="00D909B8" w:rsidP="006F33AF">
      <w:pPr>
        <w:pStyle w:val="ListParagraph"/>
        <w:numPr>
          <w:ilvl w:val="3"/>
          <w:numId w:val="1"/>
        </w:numPr>
        <w:rPr>
          <w:rFonts w:ascii="Tw Cen MT" w:hAnsi="Tw Cen MT" w:cs="Times New Roman"/>
          <w:sz w:val="24"/>
          <w:szCs w:val="24"/>
        </w:rPr>
      </w:pPr>
      <w:r w:rsidRPr="00F61386">
        <w:rPr>
          <w:rFonts w:ascii="Tw Cen MT" w:hAnsi="Tw Cen MT" w:cs="Times New Roman"/>
          <w:sz w:val="24"/>
          <w:szCs w:val="24"/>
        </w:rPr>
        <w:t>Maybe less alarming than it first appears.</w:t>
      </w:r>
    </w:p>
    <w:p w:rsidR="00283FAE" w:rsidRPr="00F61386" w:rsidRDefault="00283FAE" w:rsidP="00283FAE">
      <w:pPr>
        <w:pStyle w:val="ListParagraph"/>
        <w:ind w:left="2880"/>
        <w:rPr>
          <w:rFonts w:ascii="Tw Cen MT" w:hAnsi="Tw Cen MT" w:cs="Times New Roman"/>
          <w:sz w:val="24"/>
          <w:szCs w:val="24"/>
        </w:rPr>
      </w:pPr>
    </w:p>
    <w:p w:rsidR="00D909B8" w:rsidRPr="00F61386" w:rsidRDefault="00D909B8" w:rsidP="00D909B8">
      <w:pPr>
        <w:pStyle w:val="ListParagraph"/>
        <w:numPr>
          <w:ilvl w:val="4"/>
          <w:numId w:val="1"/>
        </w:numPr>
        <w:rPr>
          <w:rFonts w:ascii="Tw Cen MT" w:hAnsi="Tw Cen MT" w:cs="Times New Roman"/>
          <w:sz w:val="24"/>
          <w:szCs w:val="24"/>
        </w:rPr>
      </w:pPr>
      <w:r w:rsidRPr="00F61386">
        <w:rPr>
          <w:rFonts w:ascii="Tw Cen MT" w:hAnsi="Tw Cen MT" w:cs="Times New Roman"/>
          <w:i/>
          <w:sz w:val="24"/>
          <w:szCs w:val="24"/>
        </w:rPr>
        <w:t>Anthony v. Northwestern Mut. Life Ins. Co.</w:t>
      </w:r>
      <w:r w:rsidRPr="00F61386">
        <w:rPr>
          <w:rFonts w:ascii="Tw Cen MT" w:hAnsi="Tw Cen MT" w:cs="Times New Roman"/>
          <w:sz w:val="24"/>
          <w:szCs w:val="24"/>
        </w:rPr>
        <w:t>, 2015 U.S. Dist. LEXIS 118961 (N.D.N.Y. Sept. 8, 2015) (</w:t>
      </w:r>
      <w:r w:rsidR="0095793C" w:rsidRPr="00F61386">
        <w:rPr>
          <w:rFonts w:ascii="Tw Cen MT" w:hAnsi="Tw Cen MT" w:cs="Times New Roman"/>
          <w:sz w:val="24"/>
          <w:szCs w:val="24"/>
        </w:rPr>
        <w:t xml:space="preserve">rejecting claim because </w:t>
      </w:r>
      <w:r w:rsidR="007B2E3C" w:rsidRPr="00F61386">
        <w:rPr>
          <w:rFonts w:ascii="Tw Cen MT" w:hAnsi="Tw Cen MT" w:cs="Times New Roman"/>
          <w:sz w:val="24"/>
          <w:szCs w:val="24"/>
        </w:rPr>
        <w:t>Section 1514A</w:t>
      </w:r>
      <w:r w:rsidR="007B2E3C" w:rsidRPr="00F61386">
        <w:rPr>
          <w:rStyle w:val="apple-converted-space"/>
          <w:rFonts w:ascii="Tw Cen MT" w:hAnsi="Tw Cen MT"/>
          <w:sz w:val="24"/>
          <w:szCs w:val="24"/>
          <w:shd w:val="clear" w:color="auto" w:fill="FFFFFF"/>
        </w:rPr>
        <w:t> </w:t>
      </w:r>
      <w:r w:rsidR="007B2E3C" w:rsidRPr="00F61386">
        <w:rPr>
          <w:rFonts w:ascii="Tw Cen MT" w:hAnsi="Tw Cen MT"/>
          <w:sz w:val="24"/>
          <w:szCs w:val="24"/>
          <w:shd w:val="clear" w:color="auto" w:fill="FFFFFF"/>
        </w:rPr>
        <w:t xml:space="preserve">is concerned with public company </w:t>
      </w:r>
      <w:r w:rsidR="007B2E3C" w:rsidRPr="00F61386">
        <w:rPr>
          <w:rFonts w:ascii="Tw Cen MT" w:hAnsi="Tw Cen MT"/>
          <w:sz w:val="24"/>
          <w:szCs w:val="24"/>
          <w:shd w:val="clear" w:color="auto" w:fill="FFFFFF"/>
        </w:rPr>
        <w:lastRenderedPageBreak/>
        <w:t>fraud, and the whistleblowing must relate to the contractor's provision of services to the public company</w:t>
      </w:r>
      <w:r w:rsidR="007B2E3C" w:rsidRPr="00F61386">
        <w:rPr>
          <w:rFonts w:ascii="Tw Cen MT" w:hAnsi="Tw Cen MT"/>
          <w:color w:val="333333"/>
          <w:sz w:val="24"/>
          <w:szCs w:val="24"/>
          <w:shd w:val="clear" w:color="auto" w:fill="FFFFFF"/>
        </w:rPr>
        <w:t>).</w:t>
      </w:r>
    </w:p>
    <w:p w:rsidR="007B2E3C" w:rsidRPr="00F61386" w:rsidRDefault="0095793C" w:rsidP="00D909B8">
      <w:pPr>
        <w:pStyle w:val="ListParagraph"/>
        <w:numPr>
          <w:ilvl w:val="4"/>
          <w:numId w:val="1"/>
        </w:numPr>
        <w:rPr>
          <w:rFonts w:ascii="Tw Cen MT" w:hAnsi="Tw Cen MT" w:cs="Times New Roman"/>
          <w:sz w:val="24"/>
          <w:szCs w:val="24"/>
        </w:rPr>
      </w:pPr>
      <w:r w:rsidRPr="00F61386">
        <w:rPr>
          <w:rFonts w:ascii="Tw Cen MT" w:hAnsi="Tw Cen MT" w:cs="Times New Roman"/>
          <w:i/>
          <w:sz w:val="24"/>
          <w:szCs w:val="24"/>
        </w:rPr>
        <w:t>Gibney v. Evolution Mktg. Research, LLC</w:t>
      </w:r>
      <w:r w:rsidRPr="00F61386">
        <w:rPr>
          <w:rFonts w:ascii="Tw Cen MT" w:hAnsi="Tw Cen MT" w:cs="Times New Roman"/>
          <w:sz w:val="24"/>
          <w:szCs w:val="24"/>
        </w:rPr>
        <w:t xml:space="preserve">, 25 F. Supp. 3d 741 (E.D. Pa. June 11, 2014) (rejecting claim because Plaintiff employee of private contractor alleged fraud by that contractor </w:t>
      </w:r>
      <w:r w:rsidRPr="00F61386">
        <w:rPr>
          <w:rFonts w:ascii="Tw Cen MT" w:hAnsi="Tw Cen MT" w:cs="Times New Roman"/>
          <w:i/>
          <w:sz w:val="24"/>
          <w:szCs w:val="24"/>
        </w:rPr>
        <w:t>against</w:t>
      </w:r>
      <w:r w:rsidRPr="00F61386">
        <w:rPr>
          <w:rFonts w:ascii="Tw Cen MT" w:hAnsi="Tw Cen MT" w:cs="Times New Roman"/>
          <w:sz w:val="24"/>
          <w:szCs w:val="24"/>
        </w:rPr>
        <w:t xml:space="preserve"> public company, not </w:t>
      </w:r>
      <w:r w:rsidRPr="00F61386">
        <w:rPr>
          <w:rFonts w:ascii="Tw Cen MT" w:hAnsi="Tw Cen MT" w:cs="Times New Roman"/>
          <w:i/>
          <w:sz w:val="24"/>
          <w:szCs w:val="24"/>
        </w:rPr>
        <w:t>by</w:t>
      </w:r>
      <w:r w:rsidRPr="00F61386">
        <w:rPr>
          <w:rFonts w:ascii="Tw Cen MT" w:hAnsi="Tw Cen MT" w:cs="Times New Roman"/>
          <w:sz w:val="24"/>
          <w:szCs w:val="24"/>
        </w:rPr>
        <w:t xml:space="preserve"> the public company).</w:t>
      </w:r>
    </w:p>
    <w:p w:rsidR="00B64391" w:rsidRPr="00F61386" w:rsidRDefault="00B64391" w:rsidP="00B64391">
      <w:pPr>
        <w:pStyle w:val="ListParagraph"/>
        <w:ind w:left="2160"/>
        <w:rPr>
          <w:rFonts w:ascii="Tw Cen MT" w:hAnsi="Tw Cen MT" w:cs="Times New Roman"/>
          <w:sz w:val="24"/>
          <w:szCs w:val="24"/>
        </w:rPr>
      </w:pPr>
    </w:p>
    <w:p w:rsidR="00B64391" w:rsidRPr="00F61386" w:rsidRDefault="00B64391" w:rsidP="008D2D85">
      <w:pPr>
        <w:pStyle w:val="ListParagraph"/>
        <w:numPr>
          <w:ilvl w:val="1"/>
          <w:numId w:val="1"/>
        </w:numPr>
        <w:rPr>
          <w:rFonts w:ascii="Tw Cen MT" w:hAnsi="Tw Cen MT" w:cs="Times New Roman"/>
          <w:sz w:val="24"/>
          <w:szCs w:val="24"/>
        </w:rPr>
      </w:pPr>
      <w:r w:rsidRPr="00F61386">
        <w:rPr>
          <w:rFonts w:ascii="Tw Cen MT" w:hAnsi="Tw Cen MT" w:cs="Times New Roman"/>
          <w:b/>
          <w:sz w:val="24"/>
          <w:szCs w:val="24"/>
        </w:rPr>
        <w:t>Who is eligible?</w:t>
      </w:r>
    </w:p>
    <w:p w:rsidR="00B64391" w:rsidRPr="00F61386" w:rsidRDefault="00B64391" w:rsidP="008D2D85">
      <w:pPr>
        <w:pStyle w:val="ListParagraph"/>
        <w:numPr>
          <w:ilvl w:val="2"/>
          <w:numId w:val="1"/>
        </w:numPr>
        <w:rPr>
          <w:rFonts w:ascii="Tw Cen MT" w:hAnsi="Tw Cen MT" w:cs="Times New Roman"/>
          <w:sz w:val="24"/>
          <w:szCs w:val="24"/>
        </w:rPr>
      </w:pPr>
      <w:r w:rsidRPr="00F61386">
        <w:rPr>
          <w:rFonts w:ascii="Tw Cen MT" w:hAnsi="Tw Cen MT"/>
          <w:sz w:val="24"/>
          <w:szCs w:val="24"/>
        </w:rPr>
        <w:t>a whistleblower,</w:t>
      </w:r>
    </w:p>
    <w:p w:rsidR="00B64391" w:rsidRPr="00F61386" w:rsidRDefault="00B64391" w:rsidP="008D2D85">
      <w:pPr>
        <w:pStyle w:val="ListParagraph"/>
        <w:numPr>
          <w:ilvl w:val="2"/>
          <w:numId w:val="1"/>
        </w:numPr>
        <w:rPr>
          <w:rFonts w:ascii="Tw Cen MT" w:hAnsi="Tw Cen MT" w:cs="Times New Roman"/>
          <w:sz w:val="24"/>
          <w:szCs w:val="24"/>
        </w:rPr>
      </w:pPr>
      <w:r w:rsidRPr="00F61386">
        <w:rPr>
          <w:rFonts w:ascii="Tw Cen MT" w:hAnsi="Tw Cen MT"/>
          <w:sz w:val="24"/>
          <w:szCs w:val="24"/>
        </w:rPr>
        <w:t>who voluntarily provides the SEC,</w:t>
      </w:r>
    </w:p>
    <w:p w:rsidR="00B64391" w:rsidRPr="00F61386" w:rsidRDefault="00B64391" w:rsidP="008D2D85">
      <w:pPr>
        <w:pStyle w:val="ListParagraph"/>
        <w:numPr>
          <w:ilvl w:val="2"/>
          <w:numId w:val="1"/>
        </w:numPr>
        <w:rPr>
          <w:rFonts w:ascii="Tw Cen MT" w:hAnsi="Tw Cen MT" w:cs="Times New Roman"/>
          <w:sz w:val="24"/>
          <w:szCs w:val="24"/>
        </w:rPr>
      </w:pPr>
      <w:r w:rsidRPr="00F61386">
        <w:rPr>
          <w:rFonts w:ascii="Tw Cen MT" w:hAnsi="Tw Cen MT"/>
          <w:sz w:val="24"/>
          <w:szCs w:val="24"/>
        </w:rPr>
        <w:t xml:space="preserve">with original information, </w:t>
      </w:r>
    </w:p>
    <w:p w:rsidR="00B64391" w:rsidRPr="00F61386" w:rsidRDefault="00B64391" w:rsidP="008D2D85">
      <w:pPr>
        <w:pStyle w:val="ListParagraph"/>
        <w:numPr>
          <w:ilvl w:val="2"/>
          <w:numId w:val="1"/>
        </w:numPr>
        <w:rPr>
          <w:rFonts w:ascii="Tw Cen MT" w:hAnsi="Tw Cen MT" w:cs="Times New Roman"/>
          <w:sz w:val="24"/>
          <w:szCs w:val="24"/>
        </w:rPr>
      </w:pPr>
      <w:r w:rsidRPr="00F61386">
        <w:rPr>
          <w:rFonts w:ascii="Tw Cen MT" w:hAnsi="Tw Cen MT"/>
          <w:sz w:val="24"/>
          <w:szCs w:val="24"/>
        </w:rPr>
        <w:t>that leads to a successful enfor</w:t>
      </w:r>
      <w:r w:rsidR="006123EE" w:rsidRPr="00F61386">
        <w:rPr>
          <w:rFonts w:ascii="Tw Cen MT" w:hAnsi="Tw Cen MT"/>
          <w:sz w:val="24"/>
          <w:szCs w:val="24"/>
        </w:rPr>
        <w:t>cement action by the Commission</w:t>
      </w:r>
      <w:r w:rsidRPr="00F61386">
        <w:rPr>
          <w:rFonts w:ascii="Tw Cen MT" w:hAnsi="Tw Cen MT"/>
          <w:sz w:val="24"/>
          <w:szCs w:val="24"/>
        </w:rPr>
        <w:t xml:space="preserve"> resulting in monetary sanctions of more than $1 million arising out of the same core facts,</w:t>
      </w:r>
    </w:p>
    <w:p w:rsidR="00B64391" w:rsidRPr="00F61386" w:rsidRDefault="00B64391" w:rsidP="008D2D85">
      <w:pPr>
        <w:pStyle w:val="ListParagraph"/>
        <w:numPr>
          <w:ilvl w:val="2"/>
          <w:numId w:val="1"/>
        </w:numPr>
        <w:rPr>
          <w:rFonts w:ascii="Tw Cen MT" w:hAnsi="Tw Cen MT" w:cs="Times New Roman"/>
          <w:sz w:val="24"/>
          <w:szCs w:val="24"/>
        </w:rPr>
      </w:pPr>
      <w:r w:rsidRPr="00F61386">
        <w:rPr>
          <w:rFonts w:ascii="Tw Cen MT" w:hAnsi="Tw Cen MT"/>
          <w:sz w:val="24"/>
          <w:szCs w:val="24"/>
        </w:rPr>
        <w:t>is eligible for an award of 10% to 30% of any amounts recovered.</w:t>
      </w:r>
    </w:p>
    <w:p w:rsidR="00B64391" w:rsidRPr="00F61386" w:rsidRDefault="00B64391" w:rsidP="00B64391">
      <w:pPr>
        <w:pStyle w:val="ListParagraph"/>
        <w:ind w:left="2160"/>
        <w:rPr>
          <w:rFonts w:ascii="Tw Cen MT" w:hAnsi="Tw Cen MT" w:cs="Times New Roman"/>
          <w:sz w:val="24"/>
          <w:szCs w:val="24"/>
        </w:rPr>
      </w:pPr>
    </w:p>
    <w:p w:rsidR="00B64391" w:rsidRPr="00F61386" w:rsidRDefault="00B64391" w:rsidP="008D2D85">
      <w:pPr>
        <w:pStyle w:val="ListParagraph"/>
        <w:numPr>
          <w:ilvl w:val="1"/>
          <w:numId w:val="1"/>
        </w:numPr>
        <w:rPr>
          <w:rFonts w:ascii="Tw Cen MT" w:hAnsi="Tw Cen MT" w:cs="Times New Roman"/>
          <w:sz w:val="24"/>
          <w:szCs w:val="24"/>
        </w:rPr>
      </w:pPr>
      <w:r w:rsidRPr="00F61386">
        <w:rPr>
          <w:rFonts w:ascii="Tw Cen MT" w:hAnsi="Tw Cen MT" w:cs="Times New Roman"/>
          <w:b/>
          <w:sz w:val="24"/>
          <w:szCs w:val="24"/>
        </w:rPr>
        <w:t>“Whistleblower”</w:t>
      </w:r>
    </w:p>
    <w:p w:rsidR="00B64391" w:rsidRPr="00F61386" w:rsidRDefault="00B64391" w:rsidP="008D2D85">
      <w:pPr>
        <w:pStyle w:val="ListParagraph"/>
        <w:numPr>
          <w:ilvl w:val="2"/>
          <w:numId w:val="1"/>
        </w:numPr>
        <w:rPr>
          <w:rFonts w:ascii="Tw Cen MT" w:hAnsi="Tw Cen MT" w:cs="Times New Roman"/>
          <w:sz w:val="24"/>
          <w:szCs w:val="24"/>
        </w:rPr>
      </w:pPr>
      <w:r w:rsidRPr="00F61386">
        <w:rPr>
          <w:rFonts w:ascii="Tw Cen MT" w:hAnsi="Tw Cen MT"/>
          <w:sz w:val="24"/>
          <w:szCs w:val="24"/>
        </w:rPr>
        <w:t xml:space="preserve">someone who, alone or jointly with others, provides the Commission with information that relates to a possible violation of the federal securities laws or rules  (including any rules or regulations thereunder) that has occurred, is ongoing, or is about to occur.  Rule 21F-2(a)(1); </w:t>
      </w:r>
      <w:r w:rsidR="00794C7D" w:rsidRPr="00F61386">
        <w:rPr>
          <w:rFonts w:ascii="Tw Cen MT" w:hAnsi="Tw Cen MT"/>
          <w:sz w:val="24"/>
          <w:szCs w:val="24"/>
        </w:rPr>
        <w:t>Section 21F</w:t>
      </w:r>
      <w:r w:rsidRPr="00F61386">
        <w:rPr>
          <w:rFonts w:ascii="Tw Cen MT" w:hAnsi="Tw Cen MT"/>
          <w:sz w:val="24"/>
          <w:szCs w:val="24"/>
        </w:rPr>
        <w:t xml:space="preserve">(a)(6). </w:t>
      </w:r>
    </w:p>
    <w:p w:rsidR="00B64391" w:rsidRPr="00F61386" w:rsidRDefault="00B64391" w:rsidP="008D2D85">
      <w:pPr>
        <w:pStyle w:val="ListParagraph"/>
        <w:numPr>
          <w:ilvl w:val="2"/>
          <w:numId w:val="1"/>
        </w:numPr>
        <w:rPr>
          <w:rFonts w:ascii="Tw Cen MT" w:hAnsi="Tw Cen MT" w:cs="Times New Roman"/>
          <w:sz w:val="24"/>
          <w:szCs w:val="24"/>
        </w:rPr>
      </w:pPr>
      <w:r w:rsidRPr="00F61386">
        <w:rPr>
          <w:rFonts w:ascii="Tw Cen MT" w:hAnsi="Tw Cen MT" w:cs="Times New Roman"/>
          <w:sz w:val="24"/>
          <w:szCs w:val="24"/>
        </w:rPr>
        <w:t>But as to “about to occur,” query whether you’d have any sanctions to generate an award.</w:t>
      </w:r>
    </w:p>
    <w:p w:rsidR="00B64391" w:rsidRPr="00F61386" w:rsidRDefault="00B64391" w:rsidP="008D2D85">
      <w:pPr>
        <w:pStyle w:val="ListParagraph"/>
        <w:numPr>
          <w:ilvl w:val="2"/>
          <w:numId w:val="1"/>
        </w:numPr>
        <w:rPr>
          <w:rFonts w:ascii="Tw Cen MT" w:hAnsi="Tw Cen MT" w:cs="Times New Roman"/>
          <w:sz w:val="24"/>
          <w:szCs w:val="24"/>
        </w:rPr>
      </w:pPr>
      <w:r w:rsidRPr="00F61386">
        <w:rPr>
          <w:rFonts w:ascii="Tw Cen MT" w:hAnsi="Tw Cen MT"/>
          <w:sz w:val="24"/>
          <w:szCs w:val="24"/>
        </w:rPr>
        <w:t xml:space="preserve">The whistleblower must be an individual; a company or another entity is not eligible. Rule 21F-2(a)(1); </w:t>
      </w:r>
      <w:r w:rsidRPr="00F61386">
        <w:rPr>
          <w:rFonts w:ascii="Tw Cen MT" w:hAnsi="Tw Cen MT"/>
          <w:i/>
          <w:sz w:val="24"/>
          <w:szCs w:val="24"/>
        </w:rPr>
        <w:t>see also</w:t>
      </w:r>
      <w:r w:rsidRPr="00F61386">
        <w:rPr>
          <w:rFonts w:ascii="Tw Cen MT" w:hAnsi="Tw Cen MT"/>
          <w:sz w:val="24"/>
          <w:szCs w:val="24"/>
        </w:rPr>
        <w:t xml:space="preserve"> </w:t>
      </w:r>
      <w:r w:rsidR="00794C7D" w:rsidRPr="00F61386">
        <w:rPr>
          <w:rFonts w:ascii="Tw Cen MT" w:hAnsi="Tw Cen MT"/>
          <w:sz w:val="24"/>
          <w:szCs w:val="24"/>
        </w:rPr>
        <w:t>Section 21F</w:t>
      </w:r>
      <w:r w:rsidRPr="00F61386">
        <w:rPr>
          <w:rFonts w:ascii="Tw Cen MT" w:hAnsi="Tw Cen MT"/>
          <w:sz w:val="24"/>
          <w:szCs w:val="24"/>
        </w:rPr>
        <w:t>(a)(6)</w:t>
      </w:r>
    </w:p>
    <w:p w:rsidR="00B64391" w:rsidRPr="00F61386" w:rsidRDefault="00B64391" w:rsidP="008D2D85">
      <w:pPr>
        <w:pStyle w:val="ListParagraph"/>
        <w:numPr>
          <w:ilvl w:val="2"/>
          <w:numId w:val="1"/>
        </w:numPr>
        <w:rPr>
          <w:rFonts w:ascii="Tw Cen MT" w:hAnsi="Tw Cen MT" w:cs="Times New Roman"/>
          <w:sz w:val="24"/>
          <w:szCs w:val="24"/>
        </w:rPr>
      </w:pPr>
      <w:r w:rsidRPr="00F61386">
        <w:rPr>
          <w:rFonts w:ascii="Tw Cen MT" w:hAnsi="Tw Cen MT"/>
          <w:sz w:val="24"/>
          <w:szCs w:val="24"/>
        </w:rPr>
        <w:t xml:space="preserve">A whistleblower may remain anonymous when reporting to the SEC, but must report through an attorney.  Rule 21F-9(c); </w:t>
      </w:r>
      <w:r w:rsidR="00794C7D" w:rsidRPr="00F61386">
        <w:rPr>
          <w:rFonts w:ascii="Tw Cen MT" w:hAnsi="Tw Cen MT"/>
          <w:sz w:val="24"/>
          <w:szCs w:val="24"/>
        </w:rPr>
        <w:t>Section 21F</w:t>
      </w:r>
      <w:r w:rsidRPr="00F61386">
        <w:rPr>
          <w:rFonts w:ascii="Tw Cen MT" w:hAnsi="Tw Cen MT"/>
          <w:sz w:val="24"/>
          <w:szCs w:val="24"/>
        </w:rPr>
        <w:t>(d)(2)(A).</w:t>
      </w:r>
    </w:p>
    <w:p w:rsidR="008D1FEF" w:rsidRPr="00F61386" w:rsidRDefault="008D1FEF" w:rsidP="008D1FEF">
      <w:pPr>
        <w:pStyle w:val="ListParagraph"/>
        <w:ind w:left="2160"/>
        <w:rPr>
          <w:rFonts w:ascii="Tw Cen MT" w:hAnsi="Tw Cen MT" w:cs="Times New Roman"/>
          <w:sz w:val="24"/>
          <w:szCs w:val="24"/>
        </w:rPr>
      </w:pPr>
    </w:p>
    <w:p w:rsidR="00B64391" w:rsidRPr="00F61386" w:rsidRDefault="00B64391" w:rsidP="008D2D85">
      <w:pPr>
        <w:pStyle w:val="ListParagraph"/>
        <w:numPr>
          <w:ilvl w:val="1"/>
          <w:numId w:val="1"/>
        </w:numPr>
        <w:rPr>
          <w:rFonts w:ascii="Tw Cen MT" w:hAnsi="Tw Cen MT" w:cs="Times New Roman"/>
          <w:sz w:val="24"/>
          <w:szCs w:val="24"/>
        </w:rPr>
      </w:pPr>
      <w:r w:rsidRPr="00F61386">
        <w:rPr>
          <w:rFonts w:ascii="Tw Cen MT" w:hAnsi="Tw Cen MT" w:cs="Times New Roman"/>
          <w:b/>
          <w:sz w:val="24"/>
          <w:szCs w:val="24"/>
        </w:rPr>
        <w:t>“Voluntary”</w:t>
      </w:r>
      <w:r w:rsidRPr="00F61386">
        <w:rPr>
          <w:rFonts w:ascii="Tw Cen MT" w:hAnsi="Tw Cen MT" w:cs="Times New Roman"/>
          <w:sz w:val="24"/>
          <w:szCs w:val="24"/>
        </w:rPr>
        <w:t xml:space="preserve"> – </w:t>
      </w:r>
      <w:r w:rsidRPr="00F61386">
        <w:rPr>
          <w:rFonts w:ascii="Tw Cen MT" w:hAnsi="Tw Cen MT"/>
          <w:sz w:val="24"/>
          <w:szCs w:val="24"/>
        </w:rPr>
        <w:t xml:space="preserve">All information must be “voluntarily” provided to the Commission.  Rule 21F-3(a)(1); </w:t>
      </w:r>
      <w:r w:rsidR="00794C7D" w:rsidRPr="00F61386">
        <w:rPr>
          <w:rFonts w:ascii="Tw Cen MT" w:hAnsi="Tw Cen MT"/>
          <w:sz w:val="24"/>
          <w:szCs w:val="24"/>
        </w:rPr>
        <w:t>Section 21F</w:t>
      </w:r>
      <w:r w:rsidRPr="00F61386">
        <w:rPr>
          <w:rFonts w:ascii="Tw Cen MT" w:hAnsi="Tw Cen MT"/>
          <w:sz w:val="24"/>
          <w:szCs w:val="24"/>
        </w:rPr>
        <w:t>(b)(1).  Basically, before you get a subpoena or some other pre-emptive request from the government for the information.  Rule 21F-4(a).</w:t>
      </w:r>
    </w:p>
    <w:p w:rsidR="00B64391" w:rsidRPr="00F61386" w:rsidRDefault="00B64391" w:rsidP="00B64391">
      <w:pPr>
        <w:pStyle w:val="ListParagraph"/>
        <w:ind w:left="1440"/>
        <w:rPr>
          <w:rFonts w:ascii="Tw Cen MT" w:hAnsi="Tw Cen MT" w:cs="Times New Roman"/>
          <w:sz w:val="24"/>
          <w:szCs w:val="24"/>
        </w:rPr>
      </w:pPr>
    </w:p>
    <w:p w:rsidR="00B64391" w:rsidRPr="00F61386" w:rsidRDefault="00B64391" w:rsidP="008D2D85">
      <w:pPr>
        <w:pStyle w:val="ListParagraph"/>
        <w:numPr>
          <w:ilvl w:val="1"/>
          <w:numId w:val="1"/>
        </w:numPr>
        <w:rPr>
          <w:rFonts w:ascii="Tw Cen MT" w:hAnsi="Tw Cen MT" w:cs="Times New Roman"/>
          <w:sz w:val="24"/>
          <w:szCs w:val="24"/>
        </w:rPr>
      </w:pPr>
      <w:r w:rsidRPr="00F61386">
        <w:rPr>
          <w:rFonts w:ascii="Tw Cen MT" w:hAnsi="Tw Cen MT" w:cs="Times New Roman"/>
          <w:b/>
          <w:sz w:val="24"/>
          <w:szCs w:val="24"/>
        </w:rPr>
        <w:t>“Original”</w:t>
      </w:r>
    </w:p>
    <w:p w:rsidR="00B64391" w:rsidRPr="00F61386" w:rsidRDefault="00B64391" w:rsidP="00B64391">
      <w:pPr>
        <w:pStyle w:val="ListParagraph"/>
        <w:rPr>
          <w:rFonts w:ascii="Tw Cen MT" w:hAnsi="Tw Cen MT" w:cs="Times New Roman"/>
          <w:sz w:val="24"/>
          <w:szCs w:val="24"/>
        </w:rPr>
      </w:pPr>
    </w:p>
    <w:p w:rsidR="00B64391" w:rsidRPr="00F61386" w:rsidRDefault="00B64391" w:rsidP="008D2D85">
      <w:pPr>
        <w:pStyle w:val="ListParagraph"/>
        <w:numPr>
          <w:ilvl w:val="2"/>
          <w:numId w:val="1"/>
        </w:numPr>
        <w:rPr>
          <w:rFonts w:ascii="Tw Cen MT" w:hAnsi="Tw Cen MT" w:cs="Times New Roman"/>
          <w:sz w:val="24"/>
          <w:szCs w:val="24"/>
        </w:rPr>
      </w:pPr>
      <w:r w:rsidRPr="00F61386">
        <w:rPr>
          <w:rFonts w:ascii="Tw Cen MT" w:hAnsi="Tw Cen MT"/>
          <w:sz w:val="24"/>
          <w:szCs w:val="24"/>
        </w:rPr>
        <w:t xml:space="preserve">All information provided must be original. Rule 21F-3(a)(2); </w:t>
      </w:r>
      <w:r w:rsidR="00794C7D" w:rsidRPr="00F61386">
        <w:rPr>
          <w:rFonts w:ascii="Tw Cen MT" w:hAnsi="Tw Cen MT"/>
          <w:sz w:val="24"/>
          <w:szCs w:val="24"/>
        </w:rPr>
        <w:t>Section 21F</w:t>
      </w:r>
      <w:r w:rsidRPr="00F61386">
        <w:rPr>
          <w:rFonts w:ascii="Tw Cen MT" w:hAnsi="Tw Cen MT"/>
          <w:sz w:val="24"/>
          <w:szCs w:val="24"/>
        </w:rPr>
        <w:t>(b)(1).  To be original, the information must be based on the whistleblower’s independent knowledge or independent analysis, and it must not already be known to the Commission.</w:t>
      </w:r>
    </w:p>
    <w:p w:rsidR="00B64391" w:rsidRPr="00F61386" w:rsidRDefault="00B64391" w:rsidP="00B64391">
      <w:pPr>
        <w:pStyle w:val="ListParagraph"/>
        <w:ind w:left="2160"/>
        <w:rPr>
          <w:rFonts w:ascii="Tw Cen MT" w:hAnsi="Tw Cen MT" w:cs="Times New Roman"/>
          <w:sz w:val="24"/>
          <w:szCs w:val="24"/>
        </w:rPr>
      </w:pPr>
    </w:p>
    <w:p w:rsidR="00B64391" w:rsidRPr="00F61386" w:rsidRDefault="00B64391" w:rsidP="008D2D85">
      <w:pPr>
        <w:pStyle w:val="ListParagraph"/>
        <w:numPr>
          <w:ilvl w:val="2"/>
          <w:numId w:val="1"/>
        </w:numPr>
        <w:rPr>
          <w:rFonts w:ascii="Tw Cen MT" w:hAnsi="Tw Cen MT" w:cs="Times New Roman"/>
          <w:sz w:val="24"/>
          <w:szCs w:val="24"/>
        </w:rPr>
      </w:pPr>
      <w:r w:rsidRPr="00F61386">
        <w:rPr>
          <w:rFonts w:ascii="Tw Cen MT" w:hAnsi="Tw Cen MT"/>
          <w:b/>
          <w:i/>
          <w:sz w:val="24"/>
          <w:szCs w:val="24"/>
        </w:rPr>
        <w:t>Independent knowledge</w:t>
      </w:r>
      <w:r w:rsidRPr="00F61386">
        <w:rPr>
          <w:rFonts w:ascii="Tw Cen MT" w:hAnsi="Tw Cen MT"/>
          <w:sz w:val="24"/>
          <w:szCs w:val="24"/>
        </w:rPr>
        <w:t xml:space="preserve"> is defined as factual information in an individual’s possession that is not derived exclusively from publicly available sources. A </w:t>
      </w:r>
      <w:r w:rsidRPr="00F61386">
        <w:rPr>
          <w:rFonts w:ascii="Tw Cen MT" w:hAnsi="Tw Cen MT"/>
          <w:sz w:val="24"/>
          <w:szCs w:val="24"/>
        </w:rPr>
        <w:lastRenderedPageBreak/>
        <w:t xml:space="preserve">whistleblower may gain independent knowledge from his or her own experience, communications and observations in his or her business or social interaction.  Rule 21-4(b)(2); </w:t>
      </w:r>
      <w:r w:rsidRPr="00F61386">
        <w:rPr>
          <w:rFonts w:ascii="Tw Cen MT" w:hAnsi="Tw Cen MT"/>
          <w:i/>
          <w:sz w:val="24"/>
          <w:szCs w:val="24"/>
        </w:rPr>
        <w:t>see also</w:t>
      </w:r>
      <w:r w:rsidRPr="00F61386">
        <w:rPr>
          <w:rFonts w:ascii="Tw Cen MT" w:hAnsi="Tw Cen MT"/>
          <w:sz w:val="24"/>
          <w:szCs w:val="24"/>
        </w:rPr>
        <w:t xml:space="preserve"> </w:t>
      </w:r>
      <w:r w:rsidR="00794C7D" w:rsidRPr="00F61386">
        <w:rPr>
          <w:rFonts w:ascii="Tw Cen MT" w:hAnsi="Tw Cen MT"/>
          <w:sz w:val="24"/>
          <w:szCs w:val="24"/>
        </w:rPr>
        <w:t>Section 21F</w:t>
      </w:r>
      <w:r w:rsidRPr="00F61386">
        <w:rPr>
          <w:rFonts w:ascii="Tw Cen MT" w:hAnsi="Tw Cen MT"/>
          <w:sz w:val="24"/>
          <w:szCs w:val="24"/>
        </w:rPr>
        <w:t>(a)(3).</w:t>
      </w:r>
    </w:p>
    <w:p w:rsidR="00B64391" w:rsidRPr="00F61386" w:rsidRDefault="00B64391" w:rsidP="00B64391">
      <w:pPr>
        <w:pStyle w:val="ListParagraph"/>
        <w:rPr>
          <w:rFonts w:ascii="Tw Cen MT" w:hAnsi="Tw Cen MT" w:cs="Times New Roman"/>
          <w:sz w:val="24"/>
          <w:szCs w:val="24"/>
        </w:rPr>
      </w:pPr>
    </w:p>
    <w:p w:rsidR="00B64391" w:rsidRPr="00F61386" w:rsidRDefault="00B64391" w:rsidP="008D2D85">
      <w:pPr>
        <w:pStyle w:val="ListParagraph"/>
        <w:numPr>
          <w:ilvl w:val="2"/>
          <w:numId w:val="1"/>
        </w:numPr>
        <w:rPr>
          <w:rFonts w:ascii="Tw Cen MT" w:hAnsi="Tw Cen MT" w:cs="Times New Roman"/>
          <w:sz w:val="24"/>
          <w:szCs w:val="24"/>
        </w:rPr>
      </w:pPr>
      <w:r w:rsidRPr="00F61386">
        <w:rPr>
          <w:rFonts w:ascii="Tw Cen MT" w:hAnsi="Tw Cen MT"/>
          <w:sz w:val="24"/>
          <w:szCs w:val="24"/>
        </w:rPr>
        <w:t>The SEC said in its Adopting Release, “[W]e do not believe that ‘independent knowledge’ should be further limited to direct, first-hand knowledge. Such an approa</w:t>
      </w:r>
      <w:r w:rsidR="006123EE" w:rsidRPr="00F61386">
        <w:rPr>
          <w:rFonts w:ascii="Tw Cen MT" w:hAnsi="Tw Cen MT"/>
          <w:sz w:val="24"/>
          <w:szCs w:val="24"/>
        </w:rPr>
        <w:t>ch could prevent the Commissions</w:t>
      </w:r>
      <w:r w:rsidRPr="00F61386">
        <w:rPr>
          <w:rFonts w:ascii="Tw Cen MT" w:hAnsi="Tw Cen MT"/>
          <w:sz w:val="24"/>
          <w:szCs w:val="24"/>
        </w:rPr>
        <w:t xml:space="preserve"> from receiving valuable information about possible violations from whistleblowers who are not themselves involved in the conduct at issue, but who learn about it through their observations, relationships, or personal diligence.”  SEC Rules Implementing the Whistleblower Provisions of Section 21F of Securities Exchange Act of 1934, SEC Release No. 34-64545, 76 Fed. Reg. 34,300, 34,312 (May 25, 2011) [hereinafter SEC Adopting Release].</w:t>
      </w:r>
    </w:p>
    <w:p w:rsidR="00B64391" w:rsidRPr="00F61386" w:rsidRDefault="00B64391" w:rsidP="00B64391">
      <w:pPr>
        <w:pStyle w:val="ListParagraph"/>
        <w:rPr>
          <w:rFonts w:ascii="Tw Cen MT" w:hAnsi="Tw Cen MT"/>
          <w:sz w:val="24"/>
          <w:szCs w:val="24"/>
        </w:rPr>
      </w:pPr>
    </w:p>
    <w:p w:rsidR="00B64391" w:rsidRPr="00F61386" w:rsidRDefault="00B64391" w:rsidP="008D2D85">
      <w:pPr>
        <w:pStyle w:val="ListParagraph"/>
        <w:numPr>
          <w:ilvl w:val="2"/>
          <w:numId w:val="1"/>
        </w:numPr>
        <w:rPr>
          <w:rFonts w:ascii="Tw Cen MT" w:hAnsi="Tw Cen MT" w:cs="Times New Roman"/>
          <w:sz w:val="24"/>
          <w:szCs w:val="24"/>
        </w:rPr>
      </w:pPr>
      <w:r w:rsidRPr="00F61386">
        <w:rPr>
          <w:rFonts w:ascii="Tw Cen MT" w:hAnsi="Tw Cen MT"/>
          <w:b/>
          <w:i/>
          <w:sz w:val="24"/>
          <w:szCs w:val="24"/>
        </w:rPr>
        <w:t>Independent analysis</w:t>
      </w:r>
      <w:r w:rsidRPr="00F61386">
        <w:rPr>
          <w:rFonts w:ascii="Tw Cen MT" w:hAnsi="Tw Cen MT"/>
          <w:sz w:val="24"/>
          <w:szCs w:val="24"/>
        </w:rPr>
        <w:t xml:space="preserve"> means an individual’s own “analysis, whether done alone or in combination with others.” “Analysis” is further defined as an individual’s “examination and evaluation of information that may be publicly available, but which reveals information that is not generally known or available to the public.” Rule 21F-4(b)(3).  The SEC explained that the independent analysis condition requires that the “whistleblower do more than merely point the staff to disparate publicly available information that the whistleblower has assembled, whether or not the staff was previously ‘aware of’ the information.” SEC Adopting Release, 76 Fed. Reg. at 34,312.  An independent analysis requires some additional evaluation, insight, or assessment of the public information. </w:t>
      </w:r>
    </w:p>
    <w:p w:rsidR="00B64391" w:rsidRPr="00F61386" w:rsidRDefault="00B64391" w:rsidP="00B64391">
      <w:pPr>
        <w:pStyle w:val="ListParagraph"/>
        <w:rPr>
          <w:rFonts w:ascii="Tw Cen MT" w:hAnsi="Tw Cen MT" w:cs="Times New Roman"/>
          <w:sz w:val="24"/>
          <w:szCs w:val="24"/>
        </w:rPr>
      </w:pPr>
    </w:p>
    <w:p w:rsidR="00B64391" w:rsidRPr="00F61386" w:rsidRDefault="00B64391" w:rsidP="008D2D85">
      <w:pPr>
        <w:pStyle w:val="ListParagraph"/>
        <w:numPr>
          <w:ilvl w:val="1"/>
          <w:numId w:val="1"/>
        </w:numPr>
        <w:rPr>
          <w:rFonts w:ascii="Tw Cen MT" w:hAnsi="Tw Cen MT" w:cs="Times New Roman"/>
          <w:b/>
          <w:sz w:val="24"/>
          <w:szCs w:val="24"/>
        </w:rPr>
      </w:pPr>
      <w:r w:rsidRPr="00F61386">
        <w:rPr>
          <w:rFonts w:ascii="Tw Cen MT" w:hAnsi="Tw Cen MT" w:cs="Times New Roman"/>
          <w:b/>
          <w:sz w:val="24"/>
          <w:szCs w:val="24"/>
        </w:rPr>
        <w:t>Successful Enforcement Action</w:t>
      </w:r>
    </w:p>
    <w:p w:rsidR="00B64391" w:rsidRPr="00F61386" w:rsidRDefault="00B64391" w:rsidP="008D2D85">
      <w:pPr>
        <w:pStyle w:val="ListParagraph"/>
        <w:numPr>
          <w:ilvl w:val="2"/>
          <w:numId w:val="1"/>
        </w:numPr>
        <w:rPr>
          <w:rFonts w:ascii="Tw Cen MT" w:hAnsi="Tw Cen MT" w:cs="Times New Roman"/>
          <w:sz w:val="24"/>
          <w:szCs w:val="24"/>
        </w:rPr>
      </w:pPr>
      <w:r w:rsidRPr="00F61386">
        <w:rPr>
          <w:rFonts w:ascii="Tw Cen MT" w:hAnsi="Tw Cen MT"/>
          <w:sz w:val="24"/>
          <w:szCs w:val="24"/>
        </w:rPr>
        <w:t xml:space="preserve">The information provided must lead to a successful enforcement action that results in monetary sanctions of more than $1 million.  Rule 21F-3(a)(4); </w:t>
      </w:r>
      <w:r w:rsidR="00794C7D" w:rsidRPr="00F61386">
        <w:rPr>
          <w:rFonts w:ascii="Tw Cen MT" w:hAnsi="Tw Cen MT"/>
          <w:sz w:val="24"/>
          <w:szCs w:val="24"/>
        </w:rPr>
        <w:t>Section 21F</w:t>
      </w:r>
      <w:r w:rsidRPr="00F61386">
        <w:rPr>
          <w:rFonts w:ascii="Tw Cen MT" w:hAnsi="Tw Cen MT"/>
          <w:sz w:val="24"/>
          <w:szCs w:val="24"/>
        </w:rPr>
        <w:t>(b)(1).</w:t>
      </w:r>
    </w:p>
    <w:p w:rsidR="008D1FEF" w:rsidRPr="00F61386" w:rsidRDefault="008D1FEF" w:rsidP="008D1FEF">
      <w:pPr>
        <w:pStyle w:val="ListParagraph"/>
        <w:ind w:left="2160"/>
        <w:rPr>
          <w:rFonts w:ascii="Tw Cen MT" w:hAnsi="Tw Cen MT" w:cs="Times New Roman"/>
          <w:sz w:val="24"/>
          <w:szCs w:val="24"/>
        </w:rPr>
      </w:pPr>
    </w:p>
    <w:p w:rsidR="00B64391" w:rsidRPr="00F61386" w:rsidRDefault="00B64391" w:rsidP="008D2D85">
      <w:pPr>
        <w:pStyle w:val="ListParagraph"/>
        <w:numPr>
          <w:ilvl w:val="2"/>
          <w:numId w:val="1"/>
        </w:numPr>
        <w:rPr>
          <w:rFonts w:ascii="Tw Cen MT" w:hAnsi="Tw Cen MT" w:cs="Times New Roman"/>
          <w:sz w:val="24"/>
          <w:szCs w:val="24"/>
        </w:rPr>
      </w:pPr>
      <w:r w:rsidRPr="00F61386">
        <w:rPr>
          <w:rFonts w:ascii="Tw Cen MT" w:hAnsi="Tw Cen MT"/>
          <w:sz w:val="24"/>
          <w:szCs w:val="24"/>
        </w:rPr>
        <w:t xml:space="preserve">This can happen in a number of situations:  </w:t>
      </w:r>
    </w:p>
    <w:p w:rsidR="00261608" w:rsidRPr="00F61386" w:rsidRDefault="00261608" w:rsidP="00261608">
      <w:pPr>
        <w:pStyle w:val="ListParagraph"/>
        <w:rPr>
          <w:rFonts w:ascii="Tw Cen MT" w:hAnsi="Tw Cen MT" w:cs="Times New Roman"/>
          <w:sz w:val="24"/>
          <w:szCs w:val="24"/>
        </w:rPr>
      </w:pPr>
    </w:p>
    <w:p w:rsidR="00B64391" w:rsidRPr="00F61386" w:rsidRDefault="00B64391" w:rsidP="008D2D85">
      <w:pPr>
        <w:pStyle w:val="ListParagraph"/>
        <w:numPr>
          <w:ilvl w:val="3"/>
          <w:numId w:val="1"/>
        </w:numPr>
        <w:rPr>
          <w:rFonts w:ascii="Tw Cen MT" w:hAnsi="Tw Cen MT" w:cs="Times New Roman"/>
          <w:sz w:val="24"/>
          <w:szCs w:val="24"/>
        </w:rPr>
      </w:pPr>
      <w:r w:rsidRPr="00F61386">
        <w:rPr>
          <w:rFonts w:ascii="Tw Cen MT" w:hAnsi="Tw Cen MT"/>
          <w:sz w:val="24"/>
          <w:szCs w:val="24"/>
        </w:rPr>
        <w:t xml:space="preserve">First, if the </w:t>
      </w:r>
      <w:r w:rsidR="0063781B" w:rsidRPr="00F61386">
        <w:rPr>
          <w:rFonts w:ascii="Tw Cen MT" w:hAnsi="Tw Cen MT"/>
          <w:sz w:val="24"/>
          <w:szCs w:val="24"/>
        </w:rPr>
        <w:t xml:space="preserve">information </w:t>
      </w:r>
      <w:r w:rsidRPr="00F61386">
        <w:rPr>
          <w:rFonts w:ascii="Tw Cen MT" w:hAnsi="Tw Cen MT"/>
          <w:sz w:val="24"/>
          <w:szCs w:val="24"/>
        </w:rPr>
        <w:t>cause</w:t>
      </w:r>
      <w:r w:rsidR="00ED0B59" w:rsidRPr="00F61386">
        <w:rPr>
          <w:rFonts w:ascii="Tw Cen MT" w:hAnsi="Tw Cen MT"/>
          <w:sz w:val="24"/>
          <w:szCs w:val="24"/>
        </w:rPr>
        <w:t>s</w:t>
      </w:r>
      <w:r w:rsidRPr="00F61386">
        <w:rPr>
          <w:rFonts w:ascii="Tw Cen MT" w:hAnsi="Tw Cen MT"/>
          <w:sz w:val="24"/>
          <w:szCs w:val="24"/>
        </w:rPr>
        <w:t xml:space="preserve"> the staff to open an investigation, reopen an investigation, or inquire about different conduct as part of a current examination or investigation, and the SEC brings a successful action based at least in part on the conduct subject of the original information.  Rule 21F-4(c)(1).  In determining whether this standard is met, the SEC may consider several factors including: </w:t>
      </w:r>
    </w:p>
    <w:p w:rsidR="00ED0B59" w:rsidRPr="00F61386" w:rsidRDefault="00ED0B59" w:rsidP="00ED0B59">
      <w:pPr>
        <w:pStyle w:val="ListParagraph"/>
        <w:ind w:left="2880"/>
        <w:rPr>
          <w:rFonts w:ascii="Tw Cen MT" w:hAnsi="Tw Cen MT" w:cs="Times New Roman"/>
          <w:sz w:val="24"/>
          <w:szCs w:val="24"/>
        </w:rPr>
      </w:pPr>
    </w:p>
    <w:p w:rsidR="00B64391" w:rsidRPr="00F61386" w:rsidRDefault="00B64391" w:rsidP="008D2D85">
      <w:pPr>
        <w:pStyle w:val="ListParagraph"/>
        <w:numPr>
          <w:ilvl w:val="4"/>
          <w:numId w:val="1"/>
        </w:numPr>
        <w:rPr>
          <w:rFonts w:ascii="Tw Cen MT" w:hAnsi="Tw Cen MT" w:cs="Times New Roman"/>
          <w:sz w:val="24"/>
          <w:szCs w:val="24"/>
        </w:rPr>
      </w:pPr>
      <w:r w:rsidRPr="00F61386">
        <w:rPr>
          <w:rFonts w:ascii="Tw Cen MT" w:hAnsi="Tw Cen MT"/>
          <w:sz w:val="24"/>
          <w:szCs w:val="24"/>
        </w:rPr>
        <w:t xml:space="preserve">allegations that formed the basis for any of the SEC’s claims in the judicial or administrative action; </w:t>
      </w:r>
    </w:p>
    <w:p w:rsidR="00B64391" w:rsidRPr="00F61386" w:rsidRDefault="00B64391" w:rsidP="008D2D85">
      <w:pPr>
        <w:pStyle w:val="ListParagraph"/>
        <w:numPr>
          <w:ilvl w:val="4"/>
          <w:numId w:val="1"/>
        </w:numPr>
        <w:rPr>
          <w:rFonts w:ascii="Tw Cen MT" w:hAnsi="Tw Cen MT" w:cs="Times New Roman"/>
          <w:sz w:val="24"/>
          <w:szCs w:val="24"/>
        </w:rPr>
      </w:pPr>
      <w:r w:rsidRPr="00F61386">
        <w:rPr>
          <w:rFonts w:ascii="Tw Cen MT" w:hAnsi="Tw Cen MT"/>
          <w:sz w:val="24"/>
          <w:szCs w:val="24"/>
        </w:rPr>
        <w:lastRenderedPageBreak/>
        <w:t xml:space="preserve">provisions of the securities laws that the SEC alleged as having been violated in the judicial or administrative action; </w:t>
      </w:r>
    </w:p>
    <w:p w:rsidR="00B64391" w:rsidRPr="00F61386" w:rsidRDefault="00B64391" w:rsidP="008D2D85">
      <w:pPr>
        <w:pStyle w:val="ListParagraph"/>
        <w:numPr>
          <w:ilvl w:val="4"/>
          <w:numId w:val="1"/>
        </w:numPr>
        <w:rPr>
          <w:rFonts w:ascii="Tw Cen MT" w:hAnsi="Tw Cen MT" w:cs="Times New Roman"/>
          <w:sz w:val="24"/>
          <w:szCs w:val="24"/>
        </w:rPr>
      </w:pPr>
      <w:r w:rsidRPr="00F61386">
        <w:rPr>
          <w:rFonts w:ascii="Tw Cen MT" w:hAnsi="Tw Cen MT"/>
          <w:sz w:val="24"/>
          <w:szCs w:val="24"/>
        </w:rPr>
        <w:t xml:space="preserve">culpable persons or entities (as well as offices, divisions, subsidiaries or other subparts of entities) that the SEC named as defendants, respondents or uncharged wrongdoers in the judicial or administrative action; or </w:t>
      </w:r>
    </w:p>
    <w:p w:rsidR="00B64391" w:rsidRPr="00F61386" w:rsidRDefault="00B64391" w:rsidP="008D2D85">
      <w:pPr>
        <w:pStyle w:val="ListParagraph"/>
        <w:numPr>
          <w:ilvl w:val="4"/>
          <w:numId w:val="1"/>
        </w:numPr>
        <w:rPr>
          <w:rFonts w:ascii="Tw Cen MT" w:hAnsi="Tw Cen MT" w:cs="Times New Roman"/>
          <w:sz w:val="24"/>
          <w:szCs w:val="24"/>
        </w:rPr>
      </w:pPr>
      <w:r w:rsidRPr="00F61386">
        <w:rPr>
          <w:rFonts w:ascii="Tw Cen MT" w:hAnsi="Tw Cen MT"/>
          <w:sz w:val="24"/>
          <w:szCs w:val="24"/>
        </w:rPr>
        <w:t>investors or a defined group of investors that the SEC named as victims or injured parties in the judicial or administrative action.  SEC Adopting Release, 76 Fed. Reg. at 34,324.</w:t>
      </w:r>
    </w:p>
    <w:p w:rsidR="00B64391" w:rsidRPr="00F61386" w:rsidRDefault="00B64391" w:rsidP="00B64391">
      <w:pPr>
        <w:pStyle w:val="ListParagraph"/>
        <w:ind w:left="3600"/>
        <w:rPr>
          <w:rFonts w:ascii="Tw Cen MT" w:hAnsi="Tw Cen MT" w:cs="Times New Roman"/>
          <w:sz w:val="24"/>
          <w:szCs w:val="24"/>
        </w:rPr>
      </w:pPr>
    </w:p>
    <w:p w:rsidR="00B64391" w:rsidRPr="00F61386" w:rsidRDefault="00B64391" w:rsidP="00ED0B59">
      <w:pPr>
        <w:pStyle w:val="ListParagraph"/>
        <w:numPr>
          <w:ilvl w:val="3"/>
          <w:numId w:val="1"/>
        </w:numPr>
        <w:rPr>
          <w:rFonts w:ascii="Tw Cen MT" w:hAnsi="Tw Cen MT" w:cs="Times New Roman"/>
          <w:sz w:val="24"/>
          <w:szCs w:val="24"/>
        </w:rPr>
      </w:pPr>
      <w:r w:rsidRPr="00F61386">
        <w:rPr>
          <w:rFonts w:ascii="Tw Cen MT" w:hAnsi="Tw Cen MT"/>
          <w:sz w:val="24"/>
          <w:szCs w:val="24"/>
        </w:rPr>
        <w:t xml:space="preserve">Second, when </w:t>
      </w:r>
      <w:r w:rsidR="00ED0B59" w:rsidRPr="00F61386">
        <w:rPr>
          <w:rFonts w:ascii="Tw Cen MT" w:hAnsi="Tw Cen MT"/>
          <w:sz w:val="24"/>
          <w:szCs w:val="24"/>
        </w:rPr>
        <w:t>the WB</w:t>
      </w:r>
      <w:r w:rsidRPr="00F61386">
        <w:rPr>
          <w:rFonts w:ascii="Tw Cen MT" w:hAnsi="Tw Cen MT"/>
          <w:sz w:val="24"/>
          <w:szCs w:val="24"/>
        </w:rPr>
        <w:t xml:space="preserve"> provides information about conduct already under examination or investigation that is considered original and that significantly contributes to the success of the action or leads the investigation or examination in a new direction.  Rule 21F-4(c)(2).  Under its rules, the SEC will look at factors such as whether the information allowed it to bring: </w:t>
      </w:r>
    </w:p>
    <w:p w:rsidR="00B64391" w:rsidRPr="00F61386" w:rsidRDefault="00B64391" w:rsidP="00B64391">
      <w:pPr>
        <w:pStyle w:val="ListParagraph"/>
        <w:ind w:left="2160"/>
        <w:rPr>
          <w:rFonts w:ascii="Tw Cen MT" w:hAnsi="Tw Cen MT" w:cs="Times New Roman"/>
          <w:sz w:val="24"/>
          <w:szCs w:val="24"/>
        </w:rPr>
      </w:pPr>
    </w:p>
    <w:p w:rsidR="00B64391" w:rsidRPr="00F61386" w:rsidRDefault="00B64391" w:rsidP="00ED0B59">
      <w:pPr>
        <w:pStyle w:val="ListParagraph"/>
        <w:numPr>
          <w:ilvl w:val="4"/>
          <w:numId w:val="1"/>
        </w:numPr>
        <w:rPr>
          <w:rFonts w:ascii="Tw Cen MT" w:hAnsi="Tw Cen MT" w:cs="Times New Roman"/>
          <w:sz w:val="24"/>
          <w:szCs w:val="24"/>
        </w:rPr>
      </w:pPr>
      <w:r w:rsidRPr="00F61386">
        <w:rPr>
          <w:rFonts w:ascii="Tw Cen MT" w:hAnsi="Tw Cen MT"/>
          <w:sz w:val="24"/>
          <w:szCs w:val="24"/>
        </w:rPr>
        <w:t xml:space="preserve">a successful action in significantly less time or with significantly fewer resources; </w:t>
      </w:r>
    </w:p>
    <w:p w:rsidR="00B64391" w:rsidRPr="00F61386" w:rsidRDefault="00B64391" w:rsidP="00ED0B59">
      <w:pPr>
        <w:pStyle w:val="ListParagraph"/>
        <w:numPr>
          <w:ilvl w:val="4"/>
          <w:numId w:val="1"/>
        </w:numPr>
        <w:rPr>
          <w:rFonts w:ascii="Tw Cen MT" w:hAnsi="Tw Cen MT" w:cs="Times New Roman"/>
          <w:sz w:val="24"/>
          <w:szCs w:val="24"/>
        </w:rPr>
      </w:pPr>
      <w:r w:rsidRPr="00F61386">
        <w:rPr>
          <w:rFonts w:ascii="Tw Cen MT" w:hAnsi="Tw Cen MT"/>
          <w:sz w:val="24"/>
          <w:szCs w:val="24"/>
        </w:rPr>
        <w:t xml:space="preserve">additional successful claims; or </w:t>
      </w:r>
    </w:p>
    <w:p w:rsidR="00B64391" w:rsidRPr="00F61386" w:rsidRDefault="00B64391" w:rsidP="00ED0B59">
      <w:pPr>
        <w:pStyle w:val="ListParagraph"/>
        <w:numPr>
          <w:ilvl w:val="4"/>
          <w:numId w:val="1"/>
        </w:numPr>
        <w:rPr>
          <w:rFonts w:ascii="Tw Cen MT" w:hAnsi="Tw Cen MT" w:cs="Times New Roman"/>
          <w:sz w:val="24"/>
          <w:szCs w:val="24"/>
        </w:rPr>
      </w:pPr>
      <w:r w:rsidRPr="00F61386">
        <w:rPr>
          <w:rFonts w:ascii="Tw Cen MT" w:hAnsi="Tw Cen MT"/>
          <w:sz w:val="24"/>
          <w:szCs w:val="24"/>
        </w:rPr>
        <w:t xml:space="preserve">successful claims against additional individuals or entities.  SEC Adopting Release, 76 Fed. Reg. at 34,325. </w:t>
      </w:r>
    </w:p>
    <w:p w:rsidR="00B64391" w:rsidRPr="00F61386" w:rsidRDefault="00B64391" w:rsidP="00B64391">
      <w:pPr>
        <w:pStyle w:val="ListParagraph"/>
        <w:ind w:left="2880"/>
        <w:rPr>
          <w:rFonts w:ascii="Tw Cen MT" w:hAnsi="Tw Cen MT" w:cs="Times New Roman"/>
          <w:sz w:val="24"/>
          <w:szCs w:val="24"/>
        </w:rPr>
      </w:pPr>
    </w:p>
    <w:p w:rsidR="00B64391" w:rsidRPr="00F61386" w:rsidRDefault="00B64391" w:rsidP="008D2D85">
      <w:pPr>
        <w:pStyle w:val="ListParagraph"/>
        <w:numPr>
          <w:ilvl w:val="2"/>
          <w:numId w:val="1"/>
        </w:numPr>
        <w:rPr>
          <w:rFonts w:ascii="Tw Cen MT" w:hAnsi="Tw Cen MT" w:cs="Times New Roman"/>
          <w:b/>
          <w:sz w:val="24"/>
          <w:szCs w:val="24"/>
        </w:rPr>
      </w:pPr>
      <w:r w:rsidRPr="00F61386">
        <w:rPr>
          <w:rFonts w:ascii="Tw Cen MT" w:hAnsi="Tw Cen MT"/>
          <w:b/>
          <w:sz w:val="24"/>
          <w:szCs w:val="24"/>
        </w:rPr>
        <w:t>Calculating the Amount Recovered</w:t>
      </w:r>
    </w:p>
    <w:p w:rsidR="00B64391" w:rsidRPr="00F61386" w:rsidRDefault="00B64391" w:rsidP="008D2D85">
      <w:pPr>
        <w:pStyle w:val="ListParagraph"/>
        <w:numPr>
          <w:ilvl w:val="3"/>
          <w:numId w:val="1"/>
        </w:numPr>
        <w:rPr>
          <w:rFonts w:ascii="Tw Cen MT" w:hAnsi="Tw Cen MT" w:cs="Times New Roman"/>
          <w:sz w:val="24"/>
          <w:szCs w:val="24"/>
        </w:rPr>
      </w:pPr>
      <w:r w:rsidRPr="00F61386">
        <w:rPr>
          <w:rFonts w:ascii="Tw Cen MT" w:hAnsi="Tw Cen MT"/>
          <w:sz w:val="24"/>
          <w:szCs w:val="24"/>
        </w:rPr>
        <w:t>The $1 million threshold can be met by civil money penalties, disgorgement payments, and prejudgment interest totaling more than $1 million in one or more related SEC actions.  Rule 21F-4(e).</w:t>
      </w:r>
    </w:p>
    <w:p w:rsidR="00B64391" w:rsidRPr="00F61386" w:rsidRDefault="00B64391" w:rsidP="008D2D85">
      <w:pPr>
        <w:pStyle w:val="ListParagraph"/>
        <w:numPr>
          <w:ilvl w:val="3"/>
          <w:numId w:val="1"/>
        </w:numPr>
        <w:rPr>
          <w:rFonts w:ascii="Tw Cen MT" w:hAnsi="Tw Cen MT" w:cs="Times New Roman"/>
          <w:sz w:val="24"/>
          <w:szCs w:val="24"/>
        </w:rPr>
      </w:pPr>
      <w:r w:rsidRPr="00F61386">
        <w:rPr>
          <w:rFonts w:ascii="Tw Cen MT" w:hAnsi="Tw Cen MT"/>
          <w:sz w:val="24"/>
          <w:szCs w:val="24"/>
        </w:rPr>
        <w:t xml:space="preserve">The rules permit the aggregation of multiple cases that arise out of the same nucleus of operative facts.  SEC Adopting Release, 76 Fed. Reg. at 34,327.  </w:t>
      </w:r>
    </w:p>
    <w:p w:rsidR="00261608" w:rsidRPr="00F61386" w:rsidRDefault="00B64391" w:rsidP="00E0713F">
      <w:pPr>
        <w:pStyle w:val="ListParagraph"/>
        <w:numPr>
          <w:ilvl w:val="3"/>
          <w:numId w:val="1"/>
        </w:numPr>
        <w:rPr>
          <w:rFonts w:ascii="Tw Cen MT" w:hAnsi="Tw Cen MT" w:cs="Times New Roman"/>
          <w:sz w:val="24"/>
          <w:szCs w:val="24"/>
        </w:rPr>
      </w:pPr>
      <w:r w:rsidRPr="00F61386">
        <w:rPr>
          <w:rFonts w:ascii="Tw Cen MT" w:hAnsi="Tw Cen MT"/>
          <w:sz w:val="24"/>
          <w:szCs w:val="24"/>
        </w:rPr>
        <w:t>Once the $1 million threshold has been passed, the amount of the award may also be based on related actions brought by other government agencies such as criminal prosecutions by the Department of Justice.  Rule 21F-4(d); Rule 21F-3(b).</w:t>
      </w:r>
    </w:p>
    <w:p w:rsidR="00261608" w:rsidRPr="00F61386" w:rsidRDefault="00261608" w:rsidP="00B64391">
      <w:pPr>
        <w:pStyle w:val="ListParagraph"/>
        <w:ind w:left="2880"/>
        <w:rPr>
          <w:rFonts w:ascii="Tw Cen MT" w:hAnsi="Tw Cen MT" w:cs="Times New Roman"/>
          <w:sz w:val="24"/>
          <w:szCs w:val="24"/>
        </w:rPr>
      </w:pPr>
    </w:p>
    <w:p w:rsidR="00B64391" w:rsidRPr="00F61386" w:rsidRDefault="00B64391" w:rsidP="008D2D85">
      <w:pPr>
        <w:pStyle w:val="ListParagraph"/>
        <w:numPr>
          <w:ilvl w:val="1"/>
          <w:numId w:val="1"/>
        </w:numPr>
        <w:rPr>
          <w:rFonts w:ascii="Tw Cen MT" w:hAnsi="Tw Cen MT" w:cs="Times New Roman"/>
          <w:sz w:val="24"/>
          <w:szCs w:val="24"/>
        </w:rPr>
      </w:pPr>
      <w:r w:rsidRPr="00F61386">
        <w:rPr>
          <w:rFonts w:ascii="Tw Cen MT" w:hAnsi="Tw Cen MT" w:cs="Times New Roman"/>
          <w:b/>
          <w:sz w:val="24"/>
          <w:szCs w:val="24"/>
        </w:rPr>
        <w:t>People excluded from whistleblowers awards</w:t>
      </w:r>
    </w:p>
    <w:p w:rsidR="00261608" w:rsidRPr="00F61386" w:rsidRDefault="00261608" w:rsidP="00261608">
      <w:pPr>
        <w:pStyle w:val="ListParagraph"/>
        <w:ind w:left="1440"/>
        <w:rPr>
          <w:rFonts w:ascii="Tw Cen MT" w:hAnsi="Tw Cen MT" w:cs="Times New Roman"/>
          <w:sz w:val="24"/>
          <w:szCs w:val="24"/>
        </w:rPr>
      </w:pPr>
    </w:p>
    <w:p w:rsidR="00B64391" w:rsidRPr="00F61386" w:rsidRDefault="00B64391" w:rsidP="008D2D85">
      <w:pPr>
        <w:pStyle w:val="ListParagraph"/>
        <w:numPr>
          <w:ilvl w:val="2"/>
          <w:numId w:val="1"/>
        </w:numPr>
        <w:rPr>
          <w:rFonts w:ascii="Tw Cen MT" w:hAnsi="Tw Cen MT" w:cs="Times New Roman"/>
          <w:sz w:val="24"/>
          <w:szCs w:val="24"/>
        </w:rPr>
      </w:pPr>
      <w:r w:rsidRPr="00F61386">
        <w:rPr>
          <w:rFonts w:ascii="Tw Cen MT" w:hAnsi="Tw Cen MT"/>
          <w:b/>
          <w:sz w:val="24"/>
          <w:szCs w:val="24"/>
        </w:rPr>
        <w:t>Principals</w:t>
      </w:r>
      <w:r w:rsidRPr="00F61386">
        <w:rPr>
          <w:rFonts w:ascii="Tw Cen MT" w:hAnsi="Tw Cen MT"/>
          <w:sz w:val="24"/>
          <w:szCs w:val="24"/>
        </w:rPr>
        <w:t xml:space="preserve"> – An officer, director, trustee, or partner of a company who receives information about the alleged misconduct from a company employee or from the company’s internal compliance process is excluded from receiving an award.  Rule 21F-4(b)(4)(iii)(A).</w:t>
      </w:r>
    </w:p>
    <w:p w:rsidR="00C62B42" w:rsidRPr="00F61386" w:rsidRDefault="00C62B42" w:rsidP="00C62B42">
      <w:pPr>
        <w:pStyle w:val="ListParagraph"/>
        <w:ind w:left="2160"/>
        <w:rPr>
          <w:rFonts w:ascii="Tw Cen MT" w:hAnsi="Tw Cen MT" w:cs="Times New Roman"/>
          <w:sz w:val="24"/>
          <w:szCs w:val="24"/>
        </w:rPr>
      </w:pPr>
    </w:p>
    <w:p w:rsidR="00B64391" w:rsidRPr="00F61386" w:rsidRDefault="00B64391" w:rsidP="008D2D85">
      <w:pPr>
        <w:pStyle w:val="ListParagraph"/>
        <w:numPr>
          <w:ilvl w:val="2"/>
          <w:numId w:val="1"/>
        </w:numPr>
        <w:rPr>
          <w:rFonts w:ascii="Tw Cen MT" w:hAnsi="Tw Cen MT" w:cs="Times New Roman"/>
          <w:sz w:val="24"/>
          <w:szCs w:val="24"/>
        </w:rPr>
      </w:pPr>
      <w:r w:rsidRPr="00F61386">
        <w:rPr>
          <w:rFonts w:ascii="Tw Cen MT" w:hAnsi="Tw Cen MT"/>
          <w:b/>
          <w:sz w:val="24"/>
          <w:szCs w:val="24"/>
        </w:rPr>
        <w:lastRenderedPageBreak/>
        <w:t>Attorneys</w:t>
      </w:r>
      <w:r w:rsidRPr="00F61386">
        <w:rPr>
          <w:rFonts w:ascii="Tw Cen MT" w:hAnsi="Tw Cen MT"/>
          <w:sz w:val="24"/>
          <w:szCs w:val="24"/>
        </w:rPr>
        <w:t xml:space="preserve"> – not permitted to use information obtained from client engagements or attorney-client privileged information to make whistleblower claims themselves.  Rule 21F-4(b)(4)(i), (ii).</w:t>
      </w:r>
    </w:p>
    <w:p w:rsidR="00C62B42" w:rsidRPr="00F61386" w:rsidRDefault="00C62B42" w:rsidP="00C62B42">
      <w:pPr>
        <w:pStyle w:val="ListParagraph"/>
        <w:rPr>
          <w:rFonts w:ascii="Tw Cen MT" w:hAnsi="Tw Cen MT" w:cs="Times New Roman"/>
          <w:sz w:val="24"/>
          <w:szCs w:val="24"/>
        </w:rPr>
      </w:pPr>
    </w:p>
    <w:p w:rsidR="00B64391" w:rsidRPr="00F61386" w:rsidRDefault="00B64391" w:rsidP="008D2D85">
      <w:pPr>
        <w:pStyle w:val="ListParagraph"/>
        <w:numPr>
          <w:ilvl w:val="3"/>
          <w:numId w:val="1"/>
        </w:numPr>
        <w:rPr>
          <w:rFonts w:ascii="Tw Cen MT" w:hAnsi="Tw Cen MT" w:cs="Times New Roman"/>
          <w:sz w:val="24"/>
          <w:szCs w:val="24"/>
        </w:rPr>
      </w:pPr>
      <w:r w:rsidRPr="00F61386">
        <w:rPr>
          <w:rFonts w:ascii="Tw Cen MT" w:hAnsi="Tw Cen MT"/>
          <w:sz w:val="24"/>
          <w:szCs w:val="24"/>
        </w:rPr>
        <w:t>This exclusion applies to in-house attorneys who may be eligible for an award only to the extent that their disclosures are consistent with their ethical obligations and SEC rules. SEC Adopting Release, 76 Fed. Reg. at 34,315.</w:t>
      </w:r>
    </w:p>
    <w:p w:rsidR="00C62B42" w:rsidRPr="00F61386" w:rsidRDefault="00C62B42" w:rsidP="00C62B42">
      <w:pPr>
        <w:pStyle w:val="ListParagraph"/>
        <w:ind w:left="2880"/>
        <w:rPr>
          <w:rFonts w:ascii="Tw Cen MT" w:hAnsi="Tw Cen MT" w:cs="Times New Roman"/>
          <w:sz w:val="24"/>
          <w:szCs w:val="24"/>
        </w:rPr>
      </w:pPr>
    </w:p>
    <w:p w:rsidR="00C62B42" w:rsidRPr="00F61386" w:rsidRDefault="00B64391" w:rsidP="006E60CE">
      <w:pPr>
        <w:pStyle w:val="ListParagraph"/>
        <w:numPr>
          <w:ilvl w:val="3"/>
          <w:numId w:val="1"/>
        </w:numPr>
        <w:rPr>
          <w:rFonts w:ascii="Tw Cen MT" w:hAnsi="Tw Cen MT" w:cs="Times New Roman"/>
          <w:sz w:val="24"/>
          <w:szCs w:val="24"/>
        </w:rPr>
      </w:pPr>
      <w:r w:rsidRPr="00F61386">
        <w:rPr>
          <w:rFonts w:ascii="Tw Cen MT" w:hAnsi="Tw Cen MT"/>
          <w:sz w:val="24"/>
          <w:szCs w:val="24"/>
        </w:rPr>
        <w:t>This exclusion extends to non-attorneys who learn information through confidential attorney-client communications.  SEC Adopting Release, 76 Fed. Reg. at 34,315.</w:t>
      </w:r>
    </w:p>
    <w:p w:rsidR="00C62B42" w:rsidRPr="00F61386" w:rsidRDefault="00C62B42" w:rsidP="00C62B42">
      <w:pPr>
        <w:pStyle w:val="ListParagraph"/>
        <w:ind w:left="2880"/>
        <w:rPr>
          <w:rFonts w:ascii="Tw Cen MT" w:hAnsi="Tw Cen MT" w:cs="Times New Roman"/>
          <w:sz w:val="24"/>
          <w:szCs w:val="24"/>
        </w:rPr>
      </w:pPr>
    </w:p>
    <w:p w:rsidR="00B64391" w:rsidRPr="00F61386" w:rsidRDefault="00B64391" w:rsidP="006E60CE">
      <w:pPr>
        <w:pStyle w:val="ListParagraph"/>
        <w:numPr>
          <w:ilvl w:val="3"/>
          <w:numId w:val="1"/>
        </w:numPr>
        <w:rPr>
          <w:rFonts w:ascii="Tw Cen MT" w:hAnsi="Tw Cen MT" w:cs="Times New Roman"/>
          <w:sz w:val="24"/>
          <w:szCs w:val="24"/>
        </w:rPr>
      </w:pPr>
      <w:r w:rsidRPr="00F61386">
        <w:rPr>
          <w:rFonts w:ascii="Tw Cen MT" w:hAnsi="Tw Cen MT"/>
          <w:sz w:val="24"/>
          <w:szCs w:val="24"/>
        </w:rPr>
        <w:t>But . . . as noted in the SEC’s Adopting Release, the rule</w:t>
      </w:r>
      <w:r w:rsidR="009B1804" w:rsidRPr="00F61386">
        <w:rPr>
          <w:rFonts w:ascii="Tw Cen MT" w:hAnsi="Tw Cen MT"/>
          <w:sz w:val="24"/>
          <w:szCs w:val="24"/>
        </w:rPr>
        <w:t xml:space="preserve"> does not affect the existing Standards of Professional Conduct which</w:t>
      </w:r>
      <w:r w:rsidRPr="00F61386">
        <w:rPr>
          <w:rFonts w:ascii="Tw Cen MT" w:hAnsi="Tw Cen MT"/>
          <w:sz w:val="24"/>
          <w:szCs w:val="24"/>
        </w:rPr>
        <w:t xml:space="preserve"> “permit</w:t>
      </w:r>
      <w:r w:rsidR="009B1804" w:rsidRPr="00F61386">
        <w:rPr>
          <w:rFonts w:ascii="Tw Cen MT" w:hAnsi="Tw Cen MT"/>
          <w:sz w:val="24"/>
          <w:szCs w:val="24"/>
        </w:rPr>
        <w:t>[]</w:t>
      </w:r>
      <w:r w:rsidRPr="00F61386">
        <w:rPr>
          <w:rFonts w:ascii="Tw Cen MT" w:hAnsi="Tw Cen MT"/>
          <w:sz w:val="24"/>
          <w:szCs w:val="24"/>
        </w:rPr>
        <w:t xml:space="preserve"> attorneys representing issuers of securities to reveal to the [SEC] ‘confidential information related to the representation to the extent the attorney reasonably believes necessary’</w:t>
      </w:r>
    </w:p>
    <w:p w:rsidR="00B64391" w:rsidRPr="00F61386" w:rsidRDefault="00B64391" w:rsidP="008D2D85">
      <w:pPr>
        <w:pStyle w:val="ListParagraph"/>
        <w:numPr>
          <w:ilvl w:val="4"/>
          <w:numId w:val="1"/>
        </w:numPr>
        <w:rPr>
          <w:rFonts w:ascii="Tw Cen MT" w:hAnsi="Tw Cen MT" w:cs="Times New Roman"/>
          <w:sz w:val="24"/>
          <w:szCs w:val="24"/>
        </w:rPr>
      </w:pPr>
      <w:r w:rsidRPr="00F61386">
        <w:rPr>
          <w:rFonts w:ascii="Tw Cen MT" w:hAnsi="Tw Cen MT"/>
          <w:sz w:val="24"/>
          <w:szCs w:val="24"/>
        </w:rPr>
        <w:t>to prevent the issuer from committing a material violation that is likely to cause substantial injury to the financial interest or property of the issuer or investors;</w:t>
      </w:r>
    </w:p>
    <w:p w:rsidR="00B64391" w:rsidRPr="00F61386" w:rsidRDefault="00B64391" w:rsidP="008D2D85">
      <w:pPr>
        <w:pStyle w:val="ListParagraph"/>
        <w:numPr>
          <w:ilvl w:val="4"/>
          <w:numId w:val="1"/>
        </w:numPr>
        <w:rPr>
          <w:rFonts w:ascii="Tw Cen MT" w:hAnsi="Tw Cen MT" w:cs="Times New Roman"/>
          <w:sz w:val="24"/>
          <w:szCs w:val="24"/>
        </w:rPr>
      </w:pPr>
      <w:r w:rsidRPr="00F61386">
        <w:rPr>
          <w:rFonts w:ascii="Tw Cen MT" w:hAnsi="Tw Cen MT"/>
          <w:sz w:val="24"/>
          <w:szCs w:val="24"/>
        </w:rPr>
        <w:t>to prevent the issuer, in a [SEC] investigation or administrative proceeding, from committing perjury, suborning perjury, or committing any act that is likely to perpetrate a fraud upon the Commission; or</w:t>
      </w:r>
    </w:p>
    <w:p w:rsidR="00B64391" w:rsidRPr="00F61386" w:rsidRDefault="00B64391" w:rsidP="008D2D85">
      <w:pPr>
        <w:pStyle w:val="ListParagraph"/>
        <w:numPr>
          <w:ilvl w:val="4"/>
          <w:numId w:val="1"/>
        </w:numPr>
        <w:rPr>
          <w:rFonts w:ascii="Tw Cen MT" w:hAnsi="Tw Cen MT" w:cs="Times New Roman"/>
          <w:sz w:val="24"/>
          <w:szCs w:val="24"/>
        </w:rPr>
      </w:pPr>
      <w:r w:rsidRPr="00F61386">
        <w:rPr>
          <w:rFonts w:ascii="Tw Cen MT" w:hAnsi="Tw Cen MT"/>
          <w:sz w:val="24"/>
          <w:szCs w:val="24"/>
        </w:rPr>
        <w:t xml:space="preserve">to rectify the consequences of a material violation by the issuer that caused, or may cause, substantial injury to the financial interest or property of the issuer or investors in the furtherance of which the attorney’s services were used.” 17 C.F.R. § 205.3(d)(2). </w:t>
      </w:r>
    </w:p>
    <w:p w:rsidR="00B64391" w:rsidRPr="00F61386" w:rsidRDefault="00B64391" w:rsidP="00B64391">
      <w:pPr>
        <w:pStyle w:val="ListParagraph"/>
        <w:ind w:left="4320"/>
        <w:rPr>
          <w:rFonts w:ascii="Tw Cen MT" w:hAnsi="Tw Cen MT" w:cs="Times New Roman"/>
          <w:sz w:val="24"/>
          <w:szCs w:val="24"/>
        </w:rPr>
      </w:pPr>
    </w:p>
    <w:p w:rsidR="00B64391" w:rsidRPr="00F61386" w:rsidRDefault="00B64391" w:rsidP="008D2D85">
      <w:pPr>
        <w:pStyle w:val="ListParagraph"/>
        <w:numPr>
          <w:ilvl w:val="3"/>
          <w:numId w:val="1"/>
        </w:numPr>
        <w:rPr>
          <w:rFonts w:ascii="Tw Cen MT" w:hAnsi="Tw Cen MT" w:cs="Times New Roman"/>
          <w:sz w:val="24"/>
          <w:szCs w:val="24"/>
        </w:rPr>
      </w:pPr>
      <w:r w:rsidRPr="00F61386">
        <w:rPr>
          <w:rFonts w:ascii="Tw Cen MT" w:hAnsi="Tw Cen MT"/>
          <w:sz w:val="24"/>
          <w:szCs w:val="24"/>
        </w:rPr>
        <w:t>Moreover, attorneys are eligible for an award if the disclosure to the Commission does not violate applicable state bar rules; for example, the submission was based on the waiver of privilege or a crime-fraud</w:t>
      </w:r>
      <w:r w:rsidR="004E0DFE" w:rsidRPr="00F61386">
        <w:rPr>
          <w:rFonts w:ascii="Tw Cen MT" w:hAnsi="Tw Cen MT"/>
          <w:sz w:val="24"/>
          <w:szCs w:val="24"/>
        </w:rPr>
        <w:t xml:space="preserve"> exception. Rule 21F-4(b)(4)(i)</w:t>
      </w:r>
      <w:r w:rsidRPr="00F61386">
        <w:rPr>
          <w:rFonts w:ascii="Tw Cen MT" w:hAnsi="Tw Cen MT"/>
          <w:sz w:val="24"/>
          <w:szCs w:val="24"/>
        </w:rPr>
        <w:t xml:space="preserve">; </w:t>
      </w:r>
      <w:r w:rsidRPr="00F61386">
        <w:rPr>
          <w:rFonts w:ascii="Tw Cen MT" w:hAnsi="Tw Cen MT"/>
          <w:i/>
          <w:sz w:val="24"/>
          <w:szCs w:val="24"/>
        </w:rPr>
        <w:t>see also</w:t>
      </w:r>
      <w:r w:rsidRPr="00F61386">
        <w:rPr>
          <w:rFonts w:ascii="Tw Cen MT" w:hAnsi="Tw Cen MT"/>
          <w:sz w:val="24"/>
          <w:szCs w:val="24"/>
        </w:rPr>
        <w:t xml:space="preserve"> SEC Adopting Release, 76 Fed. Reg. at 34,314 n.120 (citing California Evidence Code § 956 (“There is no privilege under this article if the services of the lawyer were sought or obtained to enable or aid anyone to commit or plan to commit a crime or fraud.”))</w:t>
      </w:r>
    </w:p>
    <w:p w:rsidR="00B64391" w:rsidRPr="00F61386" w:rsidRDefault="00B64391" w:rsidP="00B64391">
      <w:pPr>
        <w:pStyle w:val="ListParagraph"/>
        <w:ind w:left="3600"/>
        <w:rPr>
          <w:rFonts w:ascii="Tw Cen MT" w:hAnsi="Tw Cen MT" w:cs="Times New Roman"/>
          <w:sz w:val="24"/>
          <w:szCs w:val="24"/>
        </w:rPr>
      </w:pPr>
    </w:p>
    <w:p w:rsidR="004E0DFE" w:rsidRPr="00F61386" w:rsidRDefault="00B64391" w:rsidP="008D2D85">
      <w:pPr>
        <w:pStyle w:val="ListParagraph"/>
        <w:numPr>
          <w:ilvl w:val="2"/>
          <w:numId w:val="1"/>
        </w:numPr>
        <w:rPr>
          <w:rFonts w:ascii="Tw Cen MT" w:hAnsi="Tw Cen MT" w:cs="Times New Roman"/>
          <w:sz w:val="24"/>
          <w:szCs w:val="24"/>
        </w:rPr>
      </w:pPr>
      <w:r w:rsidRPr="00F61386">
        <w:rPr>
          <w:rFonts w:ascii="Tw Cen MT" w:hAnsi="Tw Cen MT"/>
          <w:b/>
          <w:sz w:val="24"/>
          <w:szCs w:val="24"/>
        </w:rPr>
        <w:t>Compliance personnel</w:t>
      </w:r>
      <w:r w:rsidRPr="00F61386">
        <w:rPr>
          <w:rFonts w:ascii="Tw Cen MT" w:hAnsi="Tw Cen MT"/>
          <w:sz w:val="24"/>
          <w:szCs w:val="24"/>
        </w:rPr>
        <w:t xml:space="preserve"> – Employees whose principal duties include compliance or internal audit functions, or individuals retained by a company to perform compliance or audit functions, are not eligible for an </w:t>
      </w:r>
      <w:r w:rsidRPr="00F61386">
        <w:rPr>
          <w:rFonts w:ascii="Tw Cen MT" w:hAnsi="Tw Cen MT"/>
          <w:sz w:val="24"/>
          <w:szCs w:val="24"/>
        </w:rPr>
        <w:lastRenderedPageBreak/>
        <w:t>award.   Rule 21F-4(b)(4)(iii)(B).  The rules do not clearly extend these exclusions to other company employees involved in control or accounting f</w:t>
      </w:r>
      <w:r w:rsidR="006123EE" w:rsidRPr="00F61386">
        <w:rPr>
          <w:rFonts w:ascii="Tw Cen MT" w:hAnsi="Tw Cen MT"/>
          <w:sz w:val="24"/>
          <w:szCs w:val="24"/>
        </w:rPr>
        <w:t>unctions, unless the Commission</w:t>
      </w:r>
      <w:r w:rsidRPr="00F61386">
        <w:rPr>
          <w:rFonts w:ascii="Tw Cen MT" w:hAnsi="Tw Cen MT"/>
          <w:sz w:val="24"/>
          <w:szCs w:val="24"/>
        </w:rPr>
        <w:t xml:space="preserve"> construe</w:t>
      </w:r>
      <w:r w:rsidR="006123EE" w:rsidRPr="00F61386">
        <w:rPr>
          <w:rFonts w:ascii="Tw Cen MT" w:hAnsi="Tw Cen MT"/>
          <w:sz w:val="24"/>
          <w:szCs w:val="24"/>
        </w:rPr>
        <w:t>s</w:t>
      </w:r>
      <w:r w:rsidRPr="00F61386">
        <w:rPr>
          <w:rFonts w:ascii="Tw Cen MT" w:hAnsi="Tw Cen MT"/>
          <w:sz w:val="24"/>
          <w:szCs w:val="24"/>
        </w:rPr>
        <w:t xml:space="preserve"> “compliance” to include </w:t>
      </w:r>
    </w:p>
    <w:p w:rsidR="00B64391" w:rsidRPr="00F61386" w:rsidRDefault="00B64391" w:rsidP="008D2D85">
      <w:pPr>
        <w:pStyle w:val="ListParagraph"/>
        <w:numPr>
          <w:ilvl w:val="2"/>
          <w:numId w:val="1"/>
        </w:numPr>
        <w:rPr>
          <w:rFonts w:ascii="Tw Cen MT" w:hAnsi="Tw Cen MT" w:cs="Times New Roman"/>
          <w:sz w:val="24"/>
          <w:szCs w:val="24"/>
        </w:rPr>
      </w:pPr>
      <w:r w:rsidRPr="00F61386">
        <w:rPr>
          <w:rFonts w:ascii="Tw Cen MT" w:hAnsi="Tw Cen MT"/>
          <w:sz w:val="24"/>
          <w:szCs w:val="24"/>
        </w:rPr>
        <w:t>accounting and financial reporting personnel.</w:t>
      </w:r>
    </w:p>
    <w:p w:rsidR="00B64391" w:rsidRPr="00F61386" w:rsidRDefault="00B64391" w:rsidP="00B64391">
      <w:pPr>
        <w:pStyle w:val="ListParagraph"/>
        <w:ind w:left="2880"/>
        <w:rPr>
          <w:rFonts w:ascii="Tw Cen MT" w:hAnsi="Tw Cen MT" w:cs="Times New Roman"/>
          <w:sz w:val="24"/>
          <w:szCs w:val="24"/>
        </w:rPr>
      </w:pPr>
    </w:p>
    <w:p w:rsidR="00B64391" w:rsidRPr="00F61386" w:rsidRDefault="00B64391" w:rsidP="008D2D85">
      <w:pPr>
        <w:pStyle w:val="ListParagraph"/>
        <w:numPr>
          <w:ilvl w:val="2"/>
          <w:numId w:val="1"/>
        </w:numPr>
        <w:rPr>
          <w:rFonts w:ascii="Tw Cen MT" w:hAnsi="Tw Cen MT" w:cs="Times New Roman"/>
          <w:sz w:val="24"/>
          <w:szCs w:val="24"/>
        </w:rPr>
      </w:pPr>
      <w:r w:rsidRPr="00F61386">
        <w:rPr>
          <w:rFonts w:ascii="Tw Cen MT" w:hAnsi="Tw Cen MT"/>
          <w:b/>
          <w:sz w:val="24"/>
          <w:szCs w:val="24"/>
        </w:rPr>
        <w:t>Individuals retained to conduct an inquiry or investigate possible law violations</w:t>
      </w:r>
      <w:r w:rsidRPr="00F61386">
        <w:rPr>
          <w:rFonts w:ascii="Tw Cen MT" w:hAnsi="Tw Cen MT"/>
          <w:sz w:val="24"/>
          <w:szCs w:val="24"/>
        </w:rPr>
        <w:t xml:space="preserve"> – not eligible for an award.  Rule 21F-4(b)(4)(iii)(C).</w:t>
      </w:r>
    </w:p>
    <w:p w:rsidR="00B64391" w:rsidRPr="00F61386" w:rsidRDefault="00B64391" w:rsidP="00B64391">
      <w:pPr>
        <w:pStyle w:val="ListParagraph"/>
        <w:rPr>
          <w:rFonts w:ascii="Tw Cen MT" w:hAnsi="Tw Cen MT" w:cs="Times New Roman"/>
          <w:sz w:val="24"/>
          <w:szCs w:val="24"/>
        </w:rPr>
      </w:pPr>
    </w:p>
    <w:p w:rsidR="00B64391" w:rsidRPr="00F61386" w:rsidRDefault="00B64391" w:rsidP="008D2D85">
      <w:pPr>
        <w:pStyle w:val="ListParagraph"/>
        <w:numPr>
          <w:ilvl w:val="2"/>
          <w:numId w:val="1"/>
        </w:numPr>
        <w:rPr>
          <w:rFonts w:ascii="Tw Cen MT" w:hAnsi="Tw Cen MT" w:cs="Times New Roman"/>
          <w:sz w:val="24"/>
          <w:szCs w:val="24"/>
        </w:rPr>
      </w:pPr>
      <w:r w:rsidRPr="00F61386">
        <w:rPr>
          <w:rFonts w:ascii="Tw Cen MT" w:hAnsi="Tw Cen MT"/>
          <w:b/>
          <w:sz w:val="24"/>
          <w:szCs w:val="24"/>
        </w:rPr>
        <w:t>Accountants</w:t>
      </w:r>
      <w:r w:rsidRPr="00F61386">
        <w:rPr>
          <w:rFonts w:ascii="Tw Cen MT" w:hAnsi="Tw Cen MT"/>
          <w:sz w:val="24"/>
          <w:szCs w:val="24"/>
        </w:rPr>
        <w:t xml:space="preserve"> – employees of a public accounting firm who obtain information through an engagement required under the federal securities laws – such as a financial statement audit, a broker-dealer annual audit, or an engagement for an investment advisor related to compliance with the custody rule – are not eligible for an award if that information relates to a violation by the engagement client, et al. Rule 21F-4(b)(4)(iii)(D).</w:t>
      </w:r>
    </w:p>
    <w:p w:rsidR="00B64391" w:rsidRPr="00F61386" w:rsidRDefault="00B64391" w:rsidP="00B64391">
      <w:pPr>
        <w:pStyle w:val="ListParagraph"/>
        <w:rPr>
          <w:rFonts w:ascii="Tw Cen MT" w:hAnsi="Tw Cen MT"/>
          <w:sz w:val="24"/>
          <w:szCs w:val="24"/>
        </w:rPr>
      </w:pPr>
    </w:p>
    <w:p w:rsidR="00B64391" w:rsidRPr="00F61386" w:rsidRDefault="00B64391" w:rsidP="008D2D85">
      <w:pPr>
        <w:pStyle w:val="ListParagraph"/>
        <w:numPr>
          <w:ilvl w:val="3"/>
          <w:numId w:val="1"/>
        </w:numPr>
        <w:rPr>
          <w:rFonts w:ascii="Tw Cen MT" w:hAnsi="Tw Cen MT" w:cs="Times New Roman"/>
          <w:sz w:val="24"/>
          <w:szCs w:val="24"/>
        </w:rPr>
      </w:pPr>
      <w:r w:rsidRPr="00F61386">
        <w:rPr>
          <w:rFonts w:ascii="Tw Cen MT" w:hAnsi="Tw Cen MT"/>
          <w:sz w:val="24"/>
          <w:szCs w:val="24"/>
        </w:rPr>
        <w:t>Also, public company auditors are ineligible for awards where the information was obtained through an audit of a company’s financial statements, and making a whistleblower submission would be contrary to the requirements for auditor reporting of potential illegal activity specified in section 10A of the Exchange Act.  Rule 21F-8(c)(4).</w:t>
      </w:r>
    </w:p>
    <w:p w:rsidR="00B64391" w:rsidRPr="00F61386" w:rsidRDefault="00B64391" w:rsidP="00B64391">
      <w:pPr>
        <w:pStyle w:val="ListParagraph"/>
        <w:ind w:left="3600"/>
        <w:rPr>
          <w:rFonts w:ascii="Tw Cen MT" w:hAnsi="Tw Cen MT" w:cs="Times New Roman"/>
          <w:sz w:val="24"/>
          <w:szCs w:val="24"/>
        </w:rPr>
      </w:pPr>
    </w:p>
    <w:p w:rsidR="00B64391" w:rsidRPr="00F61386" w:rsidRDefault="00B64391" w:rsidP="008D2D85">
      <w:pPr>
        <w:pStyle w:val="ListParagraph"/>
        <w:numPr>
          <w:ilvl w:val="2"/>
          <w:numId w:val="1"/>
        </w:numPr>
        <w:rPr>
          <w:rFonts w:ascii="Tw Cen MT" w:hAnsi="Tw Cen MT" w:cs="Times New Roman"/>
          <w:sz w:val="24"/>
          <w:szCs w:val="24"/>
        </w:rPr>
      </w:pPr>
      <w:r w:rsidRPr="00F61386">
        <w:rPr>
          <w:rFonts w:ascii="Tw Cen MT" w:hAnsi="Tw Cen MT"/>
          <w:b/>
          <w:sz w:val="24"/>
          <w:szCs w:val="24"/>
        </w:rPr>
        <w:t>Other Exclusions</w:t>
      </w:r>
    </w:p>
    <w:p w:rsidR="00B64391" w:rsidRPr="00F61386" w:rsidRDefault="00B64391" w:rsidP="008D2D85">
      <w:pPr>
        <w:pStyle w:val="ListParagraph"/>
        <w:numPr>
          <w:ilvl w:val="3"/>
          <w:numId w:val="1"/>
        </w:numPr>
        <w:rPr>
          <w:rFonts w:ascii="Tw Cen MT" w:hAnsi="Tw Cen MT" w:cs="Times New Roman"/>
          <w:sz w:val="24"/>
          <w:szCs w:val="24"/>
        </w:rPr>
      </w:pPr>
      <w:r w:rsidRPr="00F61386">
        <w:rPr>
          <w:rFonts w:ascii="Tw Cen MT" w:hAnsi="Tw Cen MT"/>
          <w:sz w:val="24"/>
          <w:szCs w:val="24"/>
        </w:rPr>
        <w:t xml:space="preserve"> Information that was obtained in a way that is determined by a U.S. court to have violated federal or state criminal law is also excluded.  Rule 21F-4(b)(4)(iv).</w:t>
      </w:r>
    </w:p>
    <w:p w:rsidR="00B64391" w:rsidRPr="00F61386" w:rsidRDefault="00B64391" w:rsidP="008D2D85">
      <w:pPr>
        <w:pStyle w:val="ListParagraph"/>
        <w:numPr>
          <w:ilvl w:val="3"/>
          <w:numId w:val="1"/>
        </w:numPr>
        <w:rPr>
          <w:rFonts w:ascii="Tw Cen MT" w:hAnsi="Tw Cen MT" w:cs="Times New Roman"/>
          <w:sz w:val="24"/>
          <w:szCs w:val="24"/>
        </w:rPr>
      </w:pPr>
      <w:r w:rsidRPr="00F61386">
        <w:rPr>
          <w:rFonts w:ascii="Tw Cen MT" w:hAnsi="Tw Cen MT"/>
          <w:sz w:val="24"/>
          <w:szCs w:val="24"/>
        </w:rPr>
        <w:t>Foreign government officials, including employees of state-owned enterprises.  Rule 21F-8(c)(2).</w:t>
      </w:r>
    </w:p>
    <w:p w:rsidR="00B64391" w:rsidRPr="00F61386" w:rsidRDefault="00B64391" w:rsidP="008D2D85">
      <w:pPr>
        <w:pStyle w:val="ListParagraph"/>
        <w:numPr>
          <w:ilvl w:val="3"/>
          <w:numId w:val="1"/>
        </w:numPr>
        <w:rPr>
          <w:rFonts w:ascii="Tw Cen MT" w:hAnsi="Tw Cen MT" w:cs="Times New Roman"/>
          <w:sz w:val="24"/>
          <w:szCs w:val="24"/>
        </w:rPr>
      </w:pPr>
      <w:r w:rsidRPr="00F61386">
        <w:rPr>
          <w:rFonts w:ascii="Tw Cen MT" w:hAnsi="Tw Cen MT"/>
          <w:sz w:val="24"/>
          <w:szCs w:val="24"/>
        </w:rPr>
        <w:t>Anyone who obtained information from persons subject to these exclusions is also excluded.  Rule 21F-8(c)(6).</w:t>
      </w:r>
    </w:p>
    <w:p w:rsidR="008D2D85" w:rsidRPr="00F61386" w:rsidRDefault="008D2D85" w:rsidP="008D2D85">
      <w:pPr>
        <w:pStyle w:val="ListParagraph"/>
        <w:ind w:left="2880"/>
        <w:rPr>
          <w:rFonts w:ascii="Tw Cen MT" w:hAnsi="Tw Cen MT" w:cs="Times New Roman"/>
          <w:sz w:val="24"/>
          <w:szCs w:val="24"/>
        </w:rPr>
      </w:pPr>
    </w:p>
    <w:p w:rsidR="00B64391" w:rsidRPr="00F61386" w:rsidRDefault="00B64391" w:rsidP="008D2D85">
      <w:pPr>
        <w:pStyle w:val="ListParagraph"/>
        <w:numPr>
          <w:ilvl w:val="2"/>
          <w:numId w:val="1"/>
        </w:numPr>
        <w:rPr>
          <w:rFonts w:ascii="Tw Cen MT" w:hAnsi="Tw Cen MT" w:cs="Times New Roman"/>
          <w:sz w:val="24"/>
          <w:szCs w:val="24"/>
        </w:rPr>
      </w:pPr>
      <w:r w:rsidRPr="00F61386">
        <w:rPr>
          <w:rFonts w:ascii="Tw Cen MT" w:hAnsi="Tw Cen MT"/>
          <w:b/>
          <w:sz w:val="24"/>
          <w:szCs w:val="24"/>
        </w:rPr>
        <w:t>Exceptions to Exclusions</w:t>
      </w:r>
      <w:r w:rsidRPr="00F61386">
        <w:rPr>
          <w:rFonts w:ascii="Tw Cen MT" w:hAnsi="Tw Cen MT"/>
          <w:sz w:val="24"/>
          <w:szCs w:val="24"/>
        </w:rPr>
        <w:t>.  The rules provide that an otherwise excluded whistleblower will be eligible for an award if:</w:t>
      </w:r>
    </w:p>
    <w:p w:rsidR="00B64391" w:rsidRPr="00F61386" w:rsidRDefault="00B64391" w:rsidP="008D2D85">
      <w:pPr>
        <w:pStyle w:val="ListParagraph"/>
        <w:numPr>
          <w:ilvl w:val="3"/>
          <w:numId w:val="1"/>
        </w:numPr>
        <w:rPr>
          <w:rFonts w:ascii="Tw Cen MT" w:hAnsi="Tw Cen MT" w:cs="Times New Roman"/>
          <w:sz w:val="24"/>
          <w:szCs w:val="24"/>
        </w:rPr>
      </w:pPr>
      <w:r w:rsidRPr="00F61386">
        <w:rPr>
          <w:rFonts w:ascii="Tw Cen MT" w:hAnsi="Tw Cen MT"/>
          <w:sz w:val="24"/>
          <w:szCs w:val="24"/>
        </w:rPr>
        <w:t>he or she has a reasonable basis to believe that disclosure is necessary to prevent the company from engaging in conduct that is likely to cause substantial financial injury to the company or investors;</w:t>
      </w:r>
    </w:p>
    <w:p w:rsidR="00B64391" w:rsidRPr="00F61386" w:rsidRDefault="00B64391" w:rsidP="008D2D85">
      <w:pPr>
        <w:pStyle w:val="ListParagraph"/>
        <w:numPr>
          <w:ilvl w:val="3"/>
          <w:numId w:val="1"/>
        </w:numPr>
        <w:rPr>
          <w:rFonts w:ascii="Tw Cen MT" w:hAnsi="Tw Cen MT" w:cs="Times New Roman"/>
          <w:sz w:val="24"/>
          <w:szCs w:val="24"/>
        </w:rPr>
      </w:pPr>
      <w:r w:rsidRPr="00F61386">
        <w:rPr>
          <w:rFonts w:ascii="Tw Cen MT" w:hAnsi="Tw Cen MT"/>
          <w:sz w:val="24"/>
          <w:szCs w:val="24"/>
        </w:rPr>
        <w:t>he or she has a reasonable basis to believe the company is engaging in conduct that will impede an investigation of the misconduct; or</w:t>
      </w:r>
    </w:p>
    <w:p w:rsidR="00B64391" w:rsidRPr="00F61386" w:rsidRDefault="00B64391" w:rsidP="008D2D85">
      <w:pPr>
        <w:pStyle w:val="ListParagraph"/>
        <w:numPr>
          <w:ilvl w:val="3"/>
          <w:numId w:val="1"/>
        </w:numPr>
        <w:rPr>
          <w:rFonts w:ascii="Tw Cen MT" w:hAnsi="Tw Cen MT" w:cs="Times New Roman"/>
          <w:sz w:val="24"/>
          <w:szCs w:val="24"/>
        </w:rPr>
      </w:pPr>
      <w:r w:rsidRPr="00F61386">
        <w:rPr>
          <w:rFonts w:ascii="Tw Cen MT" w:hAnsi="Tw Cen MT"/>
          <w:sz w:val="24"/>
          <w:szCs w:val="24"/>
        </w:rPr>
        <w:t>at least 120 days have elapsed since the whistleblower provided the information through the company’s internal reporting system.  Rule 21F-4(b)(4)(v).</w:t>
      </w:r>
    </w:p>
    <w:p w:rsidR="00B64391" w:rsidRPr="00F61386" w:rsidRDefault="00B64391" w:rsidP="008D2D85">
      <w:pPr>
        <w:pStyle w:val="ListParagraph"/>
        <w:numPr>
          <w:ilvl w:val="3"/>
          <w:numId w:val="1"/>
        </w:numPr>
        <w:rPr>
          <w:rFonts w:ascii="Tw Cen MT" w:hAnsi="Tw Cen MT" w:cs="Times New Roman"/>
          <w:sz w:val="24"/>
          <w:szCs w:val="24"/>
        </w:rPr>
      </w:pPr>
      <w:r w:rsidRPr="00F61386">
        <w:rPr>
          <w:rFonts w:ascii="Tw Cen MT" w:hAnsi="Tw Cen MT"/>
          <w:sz w:val="24"/>
          <w:szCs w:val="24"/>
        </w:rPr>
        <w:lastRenderedPageBreak/>
        <w:t>But these exceptions don’t apply to attorneys.  Rule 21F-4(b)(4)(v).</w:t>
      </w:r>
    </w:p>
    <w:p w:rsidR="00B64391" w:rsidRPr="00F61386" w:rsidRDefault="00B64391" w:rsidP="00B64391">
      <w:pPr>
        <w:rPr>
          <w:rFonts w:ascii="Tw Cen MT" w:hAnsi="Tw Cen MT" w:cs="Times New Roman"/>
          <w:sz w:val="24"/>
          <w:szCs w:val="24"/>
        </w:rPr>
      </w:pPr>
    </w:p>
    <w:p w:rsidR="00B64391" w:rsidRPr="00F61386" w:rsidRDefault="00B64391" w:rsidP="008D2D85">
      <w:pPr>
        <w:pStyle w:val="ListParagraph"/>
        <w:numPr>
          <w:ilvl w:val="1"/>
          <w:numId w:val="1"/>
        </w:numPr>
        <w:rPr>
          <w:rFonts w:ascii="Tw Cen MT" w:hAnsi="Tw Cen MT" w:cs="Times New Roman"/>
          <w:sz w:val="24"/>
          <w:szCs w:val="24"/>
        </w:rPr>
      </w:pPr>
      <w:r w:rsidRPr="00F61386">
        <w:rPr>
          <w:rFonts w:ascii="Tw Cen MT" w:hAnsi="Tw Cen MT"/>
          <w:b/>
          <w:sz w:val="24"/>
          <w:szCs w:val="24"/>
        </w:rPr>
        <w:t>Factors Considered in Determining the Amount of an Award</w:t>
      </w:r>
    </w:p>
    <w:p w:rsidR="00B64391" w:rsidRPr="00F61386" w:rsidRDefault="00B64391" w:rsidP="008D2D85">
      <w:pPr>
        <w:pStyle w:val="ListParagraph"/>
        <w:numPr>
          <w:ilvl w:val="2"/>
          <w:numId w:val="1"/>
        </w:numPr>
        <w:rPr>
          <w:rFonts w:ascii="Tw Cen MT" w:hAnsi="Tw Cen MT" w:cs="Times New Roman"/>
          <w:sz w:val="24"/>
          <w:szCs w:val="24"/>
        </w:rPr>
      </w:pPr>
      <w:r w:rsidRPr="00F61386">
        <w:rPr>
          <w:rFonts w:ascii="Tw Cen MT" w:hAnsi="Tw Cen MT"/>
          <w:sz w:val="24"/>
          <w:szCs w:val="24"/>
        </w:rPr>
        <w:t xml:space="preserve">If all these requirements are satisfied, the SEC is required to pay the whistleblower an award of 10% to 30% of the amount recovered as result of the tip. But the rules use a number of factors to move the award up or down within that range.  </w:t>
      </w:r>
    </w:p>
    <w:p w:rsidR="008D2D85" w:rsidRPr="00F61386" w:rsidRDefault="008D2D85" w:rsidP="008D2D85">
      <w:pPr>
        <w:pStyle w:val="ListParagraph"/>
        <w:ind w:left="2160"/>
        <w:rPr>
          <w:rFonts w:ascii="Tw Cen MT" w:hAnsi="Tw Cen MT" w:cs="Times New Roman"/>
          <w:sz w:val="24"/>
          <w:szCs w:val="24"/>
        </w:rPr>
      </w:pPr>
    </w:p>
    <w:p w:rsidR="00B64391" w:rsidRPr="00F61386" w:rsidRDefault="00B64391" w:rsidP="008D2D85">
      <w:pPr>
        <w:pStyle w:val="ListParagraph"/>
        <w:numPr>
          <w:ilvl w:val="2"/>
          <w:numId w:val="1"/>
        </w:numPr>
        <w:rPr>
          <w:rFonts w:ascii="Tw Cen MT" w:hAnsi="Tw Cen MT" w:cs="Times New Roman"/>
          <w:b/>
          <w:sz w:val="24"/>
          <w:szCs w:val="24"/>
        </w:rPr>
      </w:pPr>
      <w:r w:rsidRPr="00F61386">
        <w:rPr>
          <w:rFonts w:ascii="Tw Cen MT" w:hAnsi="Tw Cen MT"/>
          <w:b/>
          <w:sz w:val="24"/>
          <w:szCs w:val="24"/>
        </w:rPr>
        <w:t>Increasing Factors</w:t>
      </w:r>
    </w:p>
    <w:p w:rsidR="00261608" w:rsidRPr="00F61386" w:rsidRDefault="00261608" w:rsidP="00261608">
      <w:pPr>
        <w:pStyle w:val="ListParagraph"/>
        <w:rPr>
          <w:rFonts w:ascii="Tw Cen MT" w:hAnsi="Tw Cen MT" w:cs="Times New Roman"/>
          <w:b/>
          <w:sz w:val="24"/>
          <w:szCs w:val="24"/>
        </w:rPr>
      </w:pPr>
    </w:p>
    <w:p w:rsidR="00B64391" w:rsidRPr="00F61386" w:rsidRDefault="00B64391" w:rsidP="008D2D85">
      <w:pPr>
        <w:pStyle w:val="ListParagraph"/>
        <w:numPr>
          <w:ilvl w:val="3"/>
          <w:numId w:val="1"/>
        </w:numPr>
        <w:rPr>
          <w:rFonts w:ascii="Tw Cen MT" w:hAnsi="Tw Cen MT" w:cs="Times New Roman"/>
          <w:sz w:val="24"/>
          <w:szCs w:val="24"/>
        </w:rPr>
      </w:pPr>
      <w:r w:rsidRPr="00F61386">
        <w:rPr>
          <w:rFonts w:ascii="Tw Cen MT" w:hAnsi="Tw Cen MT"/>
          <w:b/>
          <w:sz w:val="24"/>
          <w:szCs w:val="24"/>
        </w:rPr>
        <w:t>Significance of the information</w:t>
      </w:r>
      <w:r w:rsidRPr="00F61386">
        <w:rPr>
          <w:rFonts w:ascii="Tw Cen MT" w:hAnsi="Tw Cen MT"/>
          <w:sz w:val="24"/>
          <w:szCs w:val="24"/>
        </w:rPr>
        <w:t xml:space="preserve"> – </w:t>
      </w:r>
      <w:r w:rsidR="00794C7D" w:rsidRPr="00F61386">
        <w:rPr>
          <w:rFonts w:ascii="Tw Cen MT" w:hAnsi="Tw Cen MT"/>
          <w:sz w:val="24"/>
          <w:szCs w:val="24"/>
        </w:rPr>
        <w:t>Section 21F</w:t>
      </w:r>
      <w:r w:rsidRPr="00F61386">
        <w:rPr>
          <w:rFonts w:ascii="Tw Cen MT" w:hAnsi="Tw Cen MT"/>
          <w:sz w:val="24"/>
          <w:szCs w:val="24"/>
        </w:rPr>
        <w:t xml:space="preserve">(c)(1)(B)(i)(I).  In considering this factor, the Commission can take into account: </w:t>
      </w:r>
    </w:p>
    <w:p w:rsidR="00B64391" w:rsidRPr="00F61386" w:rsidRDefault="00B64391" w:rsidP="008D2D85">
      <w:pPr>
        <w:pStyle w:val="ListParagraph"/>
        <w:numPr>
          <w:ilvl w:val="4"/>
          <w:numId w:val="1"/>
        </w:numPr>
        <w:rPr>
          <w:rFonts w:ascii="Tw Cen MT" w:hAnsi="Tw Cen MT" w:cs="Times New Roman"/>
          <w:sz w:val="24"/>
          <w:szCs w:val="24"/>
        </w:rPr>
      </w:pPr>
      <w:r w:rsidRPr="00F61386">
        <w:rPr>
          <w:rFonts w:ascii="Tw Cen MT" w:hAnsi="Tw Cen MT"/>
          <w:sz w:val="24"/>
          <w:szCs w:val="24"/>
        </w:rPr>
        <w:t xml:space="preserve">the nature of the information provided, including the reliability and completeness of the information, and </w:t>
      </w:r>
    </w:p>
    <w:p w:rsidR="00B64391" w:rsidRPr="00F61386" w:rsidRDefault="00B64391" w:rsidP="008D2D85">
      <w:pPr>
        <w:pStyle w:val="ListParagraph"/>
        <w:numPr>
          <w:ilvl w:val="4"/>
          <w:numId w:val="1"/>
        </w:numPr>
        <w:rPr>
          <w:rFonts w:ascii="Tw Cen MT" w:hAnsi="Tw Cen MT" w:cs="Times New Roman"/>
          <w:sz w:val="24"/>
          <w:szCs w:val="24"/>
        </w:rPr>
      </w:pPr>
      <w:r w:rsidRPr="00F61386">
        <w:rPr>
          <w:rFonts w:ascii="Tw Cen MT" w:hAnsi="Tw Cen MT"/>
          <w:sz w:val="24"/>
          <w:szCs w:val="24"/>
        </w:rPr>
        <w:t xml:space="preserve">the usefulness of the information.  Rule 21F-6(a)(1); </w:t>
      </w:r>
      <w:r w:rsidRPr="00F61386">
        <w:rPr>
          <w:rFonts w:ascii="Tw Cen MT" w:hAnsi="Tw Cen MT"/>
          <w:i/>
          <w:sz w:val="24"/>
          <w:szCs w:val="24"/>
        </w:rPr>
        <w:t>see also</w:t>
      </w:r>
      <w:r w:rsidRPr="00F61386">
        <w:rPr>
          <w:rFonts w:ascii="Tw Cen MT" w:hAnsi="Tw Cen MT"/>
          <w:sz w:val="24"/>
          <w:szCs w:val="24"/>
        </w:rPr>
        <w:t xml:space="preserve"> </w:t>
      </w:r>
      <w:r w:rsidR="00794C7D" w:rsidRPr="00F61386">
        <w:rPr>
          <w:rFonts w:ascii="Tw Cen MT" w:hAnsi="Tw Cen MT"/>
          <w:sz w:val="24"/>
          <w:szCs w:val="24"/>
        </w:rPr>
        <w:t>Section 21F</w:t>
      </w:r>
      <w:r w:rsidRPr="00F61386">
        <w:rPr>
          <w:rFonts w:ascii="Tw Cen MT" w:hAnsi="Tw Cen MT"/>
          <w:sz w:val="24"/>
          <w:szCs w:val="24"/>
        </w:rPr>
        <w:t>(c)(1)(B).</w:t>
      </w:r>
    </w:p>
    <w:p w:rsidR="008D2D85" w:rsidRPr="00F61386" w:rsidRDefault="008D2D85" w:rsidP="008D2D85">
      <w:pPr>
        <w:pStyle w:val="ListParagraph"/>
        <w:ind w:left="3600"/>
        <w:rPr>
          <w:rFonts w:ascii="Tw Cen MT" w:hAnsi="Tw Cen MT" w:cs="Times New Roman"/>
          <w:sz w:val="24"/>
          <w:szCs w:val="24"/>
        </w:rPr>
      </w:pPr>
    </w:p>
    <w:p w:rsidR="00B64391" w:rsidRPr="00F61386" w:rsidRDefault="00B64391" w:rsidP="008D2D85">
      <w:pPr>
        <w:pStyle w:val="ListParagraph"/>
        <w:numPr>
          <w:ilvl w:val="3"/>
          <w:numId w:val="1"/>
        </w:numPr>
        <w:rPr>
          <w:rFonts w:ascii="Tw Cen MT" w:hAnsi="Tw Cen MT" w:cs="Times New Roman"/>
          <w:sz w:val="24"/>
          <w:szCs w:val="24"/>
        </w:rPr>
      </w:pPr>
      <w:r w:rsidRPr="00F61386">
        <w:rPr>
          <w:rFonts w:ascii="Tw Cen MT" w:hAnsi="Tw Cen MT"/>
          <w:b/>
          <w:sz w:val="24"/>
          <w:szCs w:val="24"/>
        </w:rPr>
        <w:t>Degree of Assistance Provided</w:t>
      </w:r>
      <w:r w:rsidRPr="00F61386">
        <w:rPr>
          <w:rFonts w:ascii="Tw Cen MT" w:hAnsi="Tw Cen MT"/>
          <w:sz w:val="24"/>
          <w:szCs w:val="24"/>
        </w:rPr>
        <w:t xml:space="preserve"> – </w:t>
      </w:r>
      <w:r w:rsidR="00794C7D" w:rsidRPr="00F61386">
        <w:rPr>
          <w:rFonts w:ascii="Tw Cen MT" w:hAnsi="Tw Cen MT"/>
          <w:sz w:val="24"/>
          <w:szCs w:val="24"/>
        </w:rPr>
        <w:t>Section 21F</w:t>
      </w:r>
      <w:r w:rsidR="00BE4D07" w:rsidRPr="00F61386">
        <w:rPr>
          <w:rFonts w:ascii="Tw Cen MT" w:hAnsi="Tw Cen MT"/>
          <w:sz w:val="24"/>
          <w:szCs w:val="24"/>
        </w:rPr>
        <w:t>(c)(1)(B)(i)(II).  Factors include:</w:t>
      </w:r>
    </w:p>
    <w:p w:rsidR="008D2D85" w:rsidRPr="00F61386" w:rsidRDefault="008D2D85" w:rsidP="008D2D85">
      <w:pPr>
        <w:pStyle w:val="ListParagraph"/>
        <w:numPr>
          <w:ilvl w:val="4"/>
          <w:numId w:val="1"/>
        </w:numPr>
        <w:rPr>
          <w:rFonts w:ascii="Tw Cen MT" w:hAnsi="Tw Cen MT" w:cs="Times New Roman"/>
          <w:sz w:val="24"/>
          <w:szCs w:val="24"/>
        </w:rPr>
      </w:pPr>
      <w:r w:rsidRPr="00F61386">
        <w:rPr>
          <w:rFonts w:ascii="Tw Cen MT" w:hAnsi="Tw Cen MT"/>
          <w:sz w:val="24"/>
          <w:szCs w:val="24"/>
        </w:rPr>
        <w:t xml:space="preserve">Extent of the assistance, including </w:t>
      </w:r>
      <w:r w:rsidR="00BE4D07" w:rsidRPr="00F61386">
        <w:rPr>
          <w:rFonts w:ascii="Tw Cen MT" w:hAnsi="Tw Cen MT"/>
          <w:sz w:val="24"/>
          <w:szCs w:val="24"/>
        </w:rPr>
        <w:t>helping to explain complex transactions, interpreting evidence, or identifying new and productive lines of inqui</w:t>
      </w:r>
      <w:r w:rsidRPr="00F61386">
        <w:rPr>
          <w:rFonts w:ascii="Tw Cen MT" w:hAnsi="Tw Cen MT"/>
          <w:sz w:val="24"/>
          <w:szCs w:val="24"/>
        </w:rPr>
        <w:t xml:space="preserve">ry; </w:t>
      </w:r>
    </w:p>
    <w:p w:rsidR="008D2D85" w:rsidRPr="00F61386" w:rsidRDefault="008D2D85" w:rsidP="008D2D85">
      <w:pPr>
        <w:pStyle w:val="ListParagraph"/>
        <w:numPr>
          <w:ilvl w:val="4"/>
          <w:numId w:val="1"/>
        </w:numPr>
        <w:rPr>
          <w:rFonts w:ascii="Tw Cen MT" w:hAnsi="Tw Cen MT" w:cs="Times New Roman"/>
          <w:sz w:val="24"/>
          <w:szCs w:val="24"/>
        </w:rPr>
      </w:pPr>
      <w:r w:rsidRPr="00F61386">
        <w:rPr>
          <w:rFonts w:ascii="Tw Cen MT" w:hAnsi="Tw Cen MT"/>
          <w:sz w:val="24"/>
          <w:szCs w:val="24"/>
        </w:rPr>
        <w:t>t</w:t>
      </w:r>
      <w:r w:rsidR="00BE4D07" w:rsidRPr="00F61386">
        <w:rPr>
          <w:rFonts w:ascii="Tw Cen MT" w:hAnsi="Tw Cen MT"/>
          <w:sz w:val="24"/>
          <w:szCs w:val="24"/>
        </w:rPr>
        <w:t>imeliness of the i</w:t>
      </w:r>
      <w:r w:rsidRPr="00F61386">
        <w:rPr>
          <w:rFonts w:ascii="Tw Cen MT" w:hAnsi="Tw Cen MT"/>
          <w:sz w:val="24"/>
          <w:szCs w:val="24"/>
        </w:rPr>
        <w:t xml:space="preserve">nitial report to the SEC or </w:t>
      </w:r>
      <w:r w:rsidR="00BE4D07" w:rsidRPr="00F61386">
        <w:rPr>
          <w:rFonts w:ascii="Tw Cen MT" w:hAnsi="Tw Cen MT"/>
          <w:sz w:val="24"/>
          <w:szCs w:val="24"/>
        </w:rPr>
        <w:t>an internal compliance program</w:t>
      </w:r>
      <w:r w:rsidRPr="00F61386">
        <w:rPr>
          <w:rFonts w:ascii="Tw Cen MT" w:hAnsi="Tw Cen MT"/>
          <w:sz w:val="24"/>
          <w:szCs w:val="24"/>
        </w:rPr>
        <w:t xml:space="preserve">; </w:t>
      </w:r>
    </w:p>
    <w:p w:rsidR="008D2D85" w:rsidRPr="00F61386" w:rsidRDefault="008D2D85" w:rsidP="008D2D85">
      <w:pPr>
        <w:pStyle w:val="ListParagraph"/>
        <w:numPr>
          <w:ilvl w:val="4"/>
          <w:numId w:val="1"/>
        </w:numPr>
        <w:rPr>
          <w:rFonts w:ascii="Tw Cen MT" w:hAnsi="Tw Cen MT" w:cs="Times New Roman"/>
          <w:sz w:val="24"/>
          <w:szCs w:val="24"/>
        </w:rPr>
      </w:pPr>
      <w:r w:rsidRPr="00F61386">
        <w:rPr>
          <w:rFonts w:ascii="Tw Cen MT" w:hAnsi="Tw Cen MT"/>
          <w:sz w:val="24"/>
          <w:szCs w:val="24"/>
        </w:rPr>
        <w:t>staff</w:t>
      </w:r>
      <w:r w:rsidR="00BE4D07" w:rsidRPr="00F61386">
        <w:rPr>
          <w:rFonts w:ascii="Tw Cen MT" w:hAnsi="Tw Cen MT"/>
          <w:sz w:val="24"/>
          <w:szCs w:val="24"/>
        </w:rPr>
        <w:t xml:space="preserve"> resources conserved</w:t>
      </w:r>
      <w:r w:rsidRPr="00F61386">
        <w:rPr>
          <w:rFonts w:ascii="Tw Cen MT" w:hAnsi="Tw Cen MT"/>
          <w:sz w:val="24"/>
          <w:szCs w:val="24"/>
        </w:rPr>
        <w:t xml:space="preserve">; </w:t>
      </w:r>
    </w:p>
    <w:p w:rsidR="008D2D85" w:rsidRPr="00F61386" w:rsidRDefault="008D2D85" w:rsidP="008D2D85">
      <w:pPr>
        <w:pStyle w:val="ListParagraph"/>
        <w:numPr>
          <w:ilvl w:val="4"/>
          <w:numId w:val="1"/>
        </w:numPr>
        <w:rPr>
          <w:rFonts w:ascii="Tw Cen MT" w:hAnsi="Tw Cen MT" w:cs="Times New Roman"/>
          <w:sz w:val="24"/>
          <w:szCs w:val="24"/>
        </w:rPr>
      </w:pPr>
      <w:r w:rsidRPr="00F61386">
        <w:rPr>
          <w:rFonts w:ascii="Tw Cen MT" w:hAnsi="Tw Cen MT"/>
          <w:sz w:val="24"/>
          <w:szCs w:val="24"/>
        </w:rPr>
        <w:t xml:space="preserve">encouraging or authorizing </w:t>
      </w:r>
      <w:r w:rsidR="00BE4D07" w:rsidRPr="00F61386">
        <w:rPr>
          <w:rFonts w:ascii="Tw Cen MT" w:hAnsi="Tw Cen MT"/>
          <w:sz w:val="24"/>
          <w:szCs w:val="24"/>
        </w:rPr>
        <w:t>others</w:t>
      </w:r>
      <w:r w:rsidRPr="00F61386">
        <w:rPr>
          <w:rFonts w:ascii="Tw Cen MT" w:hAnsi="Tw Cen MT"/>
          <w:sz w:val="24"/>
          <w:szCs w:val="24"/>
        </w:rPr>
        <w:t xml:space="preserve"> to assist;</w:t>
      </w:r>
    </w:p>
    <w:p w:rsidR="008D2D85" w:rsidRPr="00F61386" w:rsidRDefault="008D2D85" w:rsidP="008D2D85">
      <w:pPr>
        <w:pStyle w:val="ListParagraph"/>
        <w:numPr>
          <w:ilvl w:val="4"/>
          <w:numId w:val="1"/>
        </w:numPr>
        <w:rPr>
          <w:rFonts w:ascii="Tw Cen MT" w:hAnsi="Tw Cen MT" w:cs="Times New Roman"/>
          <w:sz w:val="24"/>
          <w:szCs w:val="24"/>
        </w:rPr>
      </w:pPr>
      <w:r w:rsidRPr="00F61386">
        <w:rPr>
          <w:rFonts w:ascii="Tw Cen MT" w:hAnsi="Tw Cen MT"/>
          <w:sz w:val="24"/>
          <w:szCs w:val="24"/>
        </w:rPr>
        <w:t>e</w:t>
      </w:r>
      <w:r w:rsidR="00BE4D07" w:rsidRPr="00F61386">
        <w:rPr>
          <w:rFonts w:ascii="Tw Cen MT" w:hAnsi="Tw Cen MT"/>
          <w:sz w:val="24"/>
          <w:szCs w:val="24"/>
        </w:rPr>
        <w:t xml:space="preserve">fforts </w:t>
      </w:r>
      <w:r w:rsidRPr="00F61386">
        <w:rPr>
          <w:rFonts w:ascii="Tw Cen MT" w:hAnsi="Tw Cen MT"/>
          <w:sz w:val="24"/>
          <w:szCs w:val="24"/>
        </w:rPr>
        <w:t xml:space="preserve">to remediate the harm caused; and </w:t>
      </w:r>
    </w:p>
    <w:p w:rsidR="00BE4D07" w:rsidRPr="00F61386" w:rsidRDefault="00BE4D07" w:rsidP="008D2D85">
      <w:pPr>
        <w:pStyle w:val="ListParagraph"/>
        <w:numPr>
          <w:ilvl w:val="4"/>
          <w:numId w:val="1"/>
        </w:numPr>
        <w:rPr>
          <w:rFonts w:ascii="Tw Cen MT" w:hAnsi="Tw Cen MT" w:cs="Times New Roman"/>
          <w:sz w:val="24"/>
          <w:szCs w:val="24"/>
        </w:rPr>
      </w:pPr>
      <w:r w:rsidRPr="00F61386">
        <w:rPr>
          <w:rFonts w:ascii="Tw Cen MT" w:hAnsi="Tw Cen MT"/>
          <w:sz w:val="24"/>
          <w:szCs w:val="24"/>
        </w:rPr>
        <w:t>any unique hardships experienced by the whistleblower</w:t>
      </w:r>
      <w:r w:rsidR="008D2D85" w:rsidRPr="00F61386">
        <w:rPr>
          <w:rFonts w:ascii="Tw Cen MT" w:hAnsi="Tw Cen MT"/>
          <w:sz w:val="24"/>
          <w:szCs w:val="24"/>
        </w:rPr>
        <w:t>.  Rule 21F-6(a)(2).</w:t>
      </w:r>
    </w:p>
    <w:p w:rsidR="008D2D85" w:rsidRPr="00F61386" w:rsidRDefault="008D2D85" w:rsidP="008D2D85">
      <w:pPr>
        <w:pStyle w:val="ListParagraph"/>
        <w:ind w:left="3600"/>
        <w:rPr>
          <w:rFonts w:ascii="Tw Cen MT" w:hAnsi="Tw Cen MT" w:cs="Times New Roman"/>
          <w:sz w:val="24"/>
          <w:szCs w:val="24"/>
        </w:rPr>
      </w:pPr>
    </w:p>
    <w:p w:rsidR="008D2D85" w:rsidRPr="00F61386" w:rsidRDefault="007B2B0F" w:rsidP="008D2D85">
      <w:pPr>
        <w:pStyle w:val="ListParagraph"/>
        <w:numPr>
          <w:ilvl w:val="3"/>
          <w:numId w:val="1"/>
        </w:numPr>
        <w:rPr>
          <w:rFonts w:ascii="Tw Cen MT" w:hAnsi="Tw Cen MT" w:cs="Times New Roman"/>
          <w:sz w:val="24"/>
          <w:szCs w:val="24"/>
        </w:rPr>
      </w:pPr>
      <w:r w:rsidRPr="00F61386">
        <w:rPr>
          <w:rFonts w:ascii="Tw Cen MT" w:hAnsi="Tw Cen MT"/>
          <w:b/>
          <w:sz w:val="24"/>
          <w:szCs w:val="24"/>
        </w:rPr>
        <w:t>Programmatic Interest of SEC</w:t>
      </w:r>
      <w:r w:rsidR="008D2D85" w:rsidRPr="00F61386">
        <w:rPr>
          <w:rFonts w:ascii="Tw Cen MT" w:hAnsi="Tw Cen MT"/>
          <w:sz w:val="24"/>
          <w:szCs w:val="24"/>
        </w:rPr>
        <w:t xml:space="preserve"> – </w:t>
      </w:r>
      <w:r w:rsidR="00794C7D" w:rsidRPr="00F61386">
        <w:rPr>
          <w:rFonts w:ascii="Tw Cen MT" w:hAnsi="Tw Cen MT"/>
          <w:sz w:val="24"/>
          <w:szCs w:val="24"/>
        </w:rPr>
        <w:t>Section 21F</w:t>
      </w:r>
      <w:r w:rsidR="008D2D85" w:rsidRPr="00F61386">
        <w:rPr>
          <w:rFonts w:ascii="Tw Cen MT" w:hAnsi="Tw Cen MT"/>
          <w:sz w:val="24"/>
          <w:szCs w:val="24"/>
        </w:rPr>
        <w:t>(c)(1)(B)(i)(III).  The Commission</w:t>
      </w:r>
      <w:r w:rsidRPr="00F61386">
        <w:rPr>
          <w:rFonts w:ascii="Tw Cen MT" w:hAnsi="Tw Cen MT"/>
          <w:sz w:val="24"/>
          <w:szCs w:val="24"/>
        </w:rPr>
        <w:t xml:space="preserve"> may take into account</w:t>
      </w:r>
      <w:r w:rsidR="008D2D85" w:rsidRPr="00F61386">
        <w:rPr>
          <w:rFonts w:ascii="Tw Cen MT" w:hAnsi="Tw Cen MT"/>
          <w:sz w:val="24"/>
          <w:szCs w:val="24"/>
        </w:rPr>
        <w:t>:</w:t>
      </w:r>
    </w:p>
    <w:p w:rsidR="008D2D85" w:rsidRPr="00F61386" w:rsidRDefault="00612E16" w:rsidP="008D2D85">
      <w:pPr>
        <w:pStyle w:val="ListParagraph"/>
        <w:numPr>
          <w:ilvl w:val="4"/>
          <w:numId w:val="1"/>
        </w:numPr>
        <w:rPr>
          <w:rFonts w:ascii="Tw Cen MT" w:hAnsi="Tw Cen MT" w:cs="Times New Roman"/>
          <w:sz w:val="24"/>
          <w:szCs w:val="24"/>
        </w:rPr>
      </w:pPr>
      <w:r w:rsidRPr="00F61386">
        <w:rPr>
          <w:rFonts w:ascii="Tw Cen MT" w:hAnsi="Tw Cen MT"/>
          <w:sz w:val="24"/>
          <w:szCs w:val="24"/>
        </w:rPr>
        <w:t>Enhancement of</w:t>
      </w:r>
      <w:r w:rsidR="007B2B0F" w:rsidRPr="00F61386">
        <w:rPr>
          <w:rFonts w:ascii="Tw Cen MT" w:hAnsi="Tw Cen MT"/>
          <w:sz w:val="24"/>
          <w:szCs w:val="24"/>
        </w:rPr>
        <w:t xml:space="preserve"> the </w:t>
      </w:r>
      <w:r w:rsidRPr="00F61386">
        <w:rPr>
          <w:rFonts w:ascii="Tw Cen MT" w:hAnsi="Tw Cen MT"/>
          <w:sz w:val="24"/>
          <w:szCs w:val="24"/>
        </w:rPr>
        <w:t>SEC’s</w:t>
      </w:r>
      <w:r w:rsidR="007B2B0F" w:rsidRPr="00F61386">
        <w:rPr>
          <w:rFonts w:ascii="Tw Cen MT" w:hAnsi="Tw Cen MT"/>
          <w:sz w:val="24"/>
          <w:szCs w:val="24"/>
        </w:rPr>
        <w:t xml:space="preserve"> ability to enforce the federal securities </w:t>
      </w:r>
      <w:r w:rsidRPr="00F61386">
        <w:rPr>
          <w:rFonts w:ascii="Tw Cen MT" w:hAnsi="Tw Cen MT"/>
          <w:sz w:val="24"/>
          <w:szCs w:val="24"/>
        </w:rPr>
        <w:t xml:space="preserve">laws </w:t>
      </w:r>
      <w:r w:rsidR="008D2D85" w:rsidRPr="00F61386">
        <w:rPr>
          <w:rFonts w:ascii="Tw Cen MT" w:hAnsi="Tw Cen MT"/>
          <w:sz w:val="24"/>
          <w:szCs w:val="24"/>
        </w:rPr>
        <w:t xml:space="preserve">and protect investors; </w:t>
      </w:r>
    </w:p>
    <w:p w:rsidR="008D2D85" w:rsidRPr="00F61386" w:rsidRDefault="00612E16" w:rsidP="008D2D85">
      <w:pPr>
        <w:pStyle w:val="ListParagraph"/>
        <w:numPr>
          <w:ilvl w:val="4"/>
          <w:numId w:val="1"/>
        </w:numPr>
        <w:rPr>
          <w:rFonts w:ascii="Tw Cen MT" w:hAnsi="Tw Cen MT" w:cs="Times New Roman"/>
          <w:sz w:val="24"/>
          <w:szCs w:val="24"/>
        </w:rPr>
      </w:pPr>
      <w:r w:rsidRPr="00F61386">
        <w:rPr>
          <w:rFonts w:ascii="Tw Cen MT" w:hAnsi="Tw Cen MT"/>
          <w:sz w:val="24"/>
          <w:szCs w:val="24"/>
        </w:rPr>
        <w:t xml:space="preserve">if </w:t>
      </w:r>
      <w:r w:rsidR="007B2B0F" w:rsidRPr="00F61386">
        <w:rPr>
          <w:rFonts w:ascii="Tw Cen MT" w:hAnsi="Tw Cen MT"/>
          <w:sz w:val="24"/>
          <w:szCs w:val="24"/>
        </w:rPr>
        <w:t xml:space="preserve">an award </w:t>
      </w:r>
      <w:r w:rsidRPr="00F61386">
        <w:rPr>
          <w:rFonts w:ascii="Tw Cen MT" w:hAnsi="Tw Cen MT"/>
          <w:sz w:val="24"/>
          <w:szCs w:val="24"/>
        </w:rPr>
        <w:t>would encourage</w:t>
      </w:r>
      <w:r w:rsidR="007B2B0F" w:rsidRPr="00F61386">
        <w:rPr>
          <w:rFonts w:ascii="Tw Cen MT" w:hAnsi="Tw Cen MT"/>
          <w:sz w:val="24"/>
          <w:szCs w:val="24"/>
        </w:rPr>
        <w:t xml:space="preserve"> the submission of high quality</w:t>
      </w:r>
      <w:r w:rsidRPr="00F61386">
        <w:rPr>
          <w:rFonts w:ascii="Tw Cen MT" w:hAnsi="Tw Cen MT"/>
          <w:sz w:val="24"/>
          <w:szCs w:val="24"/>
        </w:rPr>
        <w:t xml:space="preserve"> tips</w:t>
      </w:r>
      <w:r w:rsidR="008D2D85" w:rsidRPr="00F61386">
        <w:rPr>
          <w:rFonts w:ascii="Tw Cen MT" w:hAnsi="Tw Cen MT"/>
          <w:sz w:val="24"/>
          <w:szCs w:val="24"/>
        </w:rPr>
        <w:t xml:space="preserve">; </w:t>
      </w:r>
    </w:p>
    <w:p w:rsidR="008D2D85" w:rsidRPr="00F61386" w:rsidRDefault="00612E16" w:rsidP="008D2D85">
      <w:pPr>
        <w:pStyle w:val="ListParagraph"/>
        <w:numPr>
          <w:ilvl w:val="4"/>
          <w:numId w:val="1"/>
        </w:numPr>
        <w:rPr>
          <w:rFonts w:ascii="Tw Cen MT" w:hAnsi="Tw Cen MT" w:cs="Times New Roman"/>
          <w:sz w:val="24"/>
          <w:szCs w:val="24"/>
        </w:rPr>
      </w:pPr>
      <w:r w:rsidRPr="00F61386">
        <w:rPr>
          <w:rFonts w:ascii="Tw Cen MT" w:hAnsi="Tw Cen MT"/>
          <w:sz w:val="24"/>
          <w:szCs w:val="24"/>
        </w:rPr>
        <w:t>if</w:t>
      </w:r>
      <w:r w:rsidR="007B2B0F" w:rsidRPr="00F61386">
        <w:rPr>
          <w:rFonts w:ascii="Tw Cen MT" w:hAnsi="Tw Cen MT"/>
          <w:sz w:val="24"/>
          <w:szCs w:val="24"/>
        </w:rPr>
        <w:t xml:space="preserve"> the subject matter of the action is a</w:t>
      </w:r>
      <w:r w:rsidRPr="00F61386">
        <w:rPr>
          <w:rFonts w:ascii="Tw Cen MT" w:hAnsi="Tw Cen MT"/>
          <w:sz w:val="24"/>
          <w:szCs w:val="24"/>
        </w:rPr>
        <w:t>n SEC</w:t>
      </w:r>
      <w:r w:rsidR="007B2B0F" w:rsidRPr="00F61386">
        <w:rPr>
          <w:rFonts w:ascii="Tw Cen MT" w:hAnsi="Tw Cen MT"/>
          <w:sz w:val="24"/>
          <w:szCs w:val="24"/>
        </w:rPr>
        <w:t xml:space="preserve"> pr</w:t>
      </w:r>
      <w:r w:rsidRPr="00F61386">
        <w:rPr>
          <w:rFonts w:ascii="Tw Cen MT" w:hAnsi="Tw Cen MT"/>
          <w:sz w:val="24"/>
          <w:szCs w:val="24"/>
        </w:rPr>
        <w:t>iority</w:t>
      </w:r>
      <w:r w:rsidR="008D2D85" w:rsidRPr="00F61386">
        <w:rPr>
          <w:rFonts w:ascii="Tw Cen MT" w:hAnsi="Tw Cen MT"/>
          <w:sz w:val="24"/>
          <w:szCs w:val="24"/>
        </w:rPr>
        <w:t xml:space="preserve">; </w:t>
      </w:r>
    </w:p>
    <w:p w:rsidR="008D2D85" w:rsidRPr="00F61386" w:rsidRDefault="007B2B0F" w:rsidP="008D2D85">
      <w:pPr>
        <w:pStyle w:val="ListParagraph"/>
        <w:numPr>
          <w:ilvl w:val="4"/>
          <w:numId w:val="1"/>
        </w:numPr>
        <w:rPr>
          <w:rFonts w:ascii="Tw Cen MT" w:hAnsi="Tw Cen MT" w:cs="Times New Roman"/>
          <w:sz w:val="24"/>
          <w:szCs w:val="24"/>
        </w:rPr>
      </w:pPr>
      <w:r w:rsidRPr="00F61386">
        <w:rPr>
          <w:rFonts w:ascii="Tw Cen MT" w:hAnsi="Tw Cen MT"/>
          <w:sz w:val="24"/>
          <w:szCs w:val="24"/>
        </w:rPr>
        <w:t>regulat</w:t>
      </w:r>
      <w:r w:rsidR="008D2D85" w:rsidRPr="00F61386">
        <w:rPr>
          <w:rFonts w:ascii="Tw Cen MT" w:hAnsi="Tw Cen MT"/>
          <w:sz w:val="24"/>
          <w:szCs w:val="24"/>
        </w:rPr>
        <w:t>ed entities or fiduciaries</w:t>
      </w:r>
      <w:r w:rsidR="00612E16" w:rsidRPr="00F61386">
        <w:rPr>
          <w:rFonts w:ascii="Tw Cen MT" w:hAnsi="Tw Cen MT"/>
          <w:sz w:val="24"/>
          <w:szCs w:val="24"/>
        </w:rPr>
        <w:t xml:space="preserve"> involved</w:t>
      </w:r>
      <w:r w:rsidR="008D2D85" w:rsidRPr="00F61386">
        <w:rPr>
          <w:rFonts w:ascii="Tw Cen MT" w:hAnsi="Tw Cen MT"/>
          <w:sz w:val="24"/>
          <w:szCs w:val="24"/>
        </w:rPr>
        <w:t xml:space="preserve">; </w:t>
      </w:r>
    </w:p>
    <w:p w:rsidR="008D2D85" w:rsidRPr="00F61386" w:rsidRDefault="00612E16" w:rsidP="008D2D85">
      <w:pPr>
        <w:pStyle w:val="ListParagraph"/>
        <w:numPr>
          <w:ilvl w:val="4"/>
          <w:numId w:val="1"/>
        </w:numPr>
        <w:rPr>
          <w:rFonts w:ascii="Tw Cen MT" w:hAnsi="Tw Cen MT" w:cs="Times New Roman"/>
          <w:sz w:val="24"/>
          <w:szCs w:val="24"/>
        </w:rPr>
      </w:pPr>
      <w:r w:rsidRPr="00F61386">
        <w:rPr>
          <w:rFonts w:ascii="Tw Cen MT" w:hAnsi="Tw Cen MT"/>
          <w:sz w:val="24"/>
          <w:szCs w:val="24"/>
        </w:rPr>
        <w:t>exposing</w:t>
      </w:r>
      <w:r w:rsidR="007B2B0F" w:rsidRPr="00F61386">
        <w:rPr>
          <w:rFonts w:ascii="Tw Cen MT" w:hAnsi="Tw Cen MT"/>
          <w:sz w:val="24"/>
          <w:szCs w:val="24"/>
        </w:rPr>
        <w:t xml:space="preserve"> </w:t>
      </w:r>
      <w:r w:rsidR="008D2D85" w:rsidRPr="00F61386">
        <w:rPr>
          <w:rFonts w:ascii="Tw Cen MT" w:hAnsi="Tw Cen MT"/>
          <w:sz w:val="24"/>
          <w:szCs w:val="24"/>
        </w:rPr>
        <w:t xml:space="preserve">an industry-wide practice; </w:t>
      </w:r>
    </w:p>
    <w:p w:rsidR="008D2D85" w:rsidRPr="00F61386" w:rsidRDefault="007B2B0F" w:rsidP="008D2D85">
      <w:pPr>
        <w:pStyle w:val="ListParagraph"/>
        <w:numPr>
          <w:ilvl w:val="4"/>
          <w:numId w:val="1"/>
        </w:numPr>
        <w:rPr>
          <w:rFonts w:ascii="Tw Cen MT" w:hAnsi="Tw Cen MT" w:cs="Times New Roman"/>
          <w:sz w:val="24"/>
          <w:szCs w:val="24"/>
        </w:rPr>
      </w:pPr>
      <w:r w:rsidRPr="00F61386">
        <w:rPr>
          <w:rFonts w:ascii="Tw Cen MT" w:hAnsi="Tw Cen MT"/>
          <w:sz w:val="24"/>
          <w:szCs w:val="24"/>
        </w:rPr>
        <w:t xml:space="preserve">the type and severity of the </w:t>
      </w:r>
      <w:r w:rsidR="00612E16" w:rsidRPr="00F61386">
        <w:rPr>
          <w:rFonts w:ascii="Tw Cen MT" w:hAnsi="Tw Cen MT"/>
          <w:sz w:val="24"/>
          <w:szCs w:val="24"/>
        </w:rPr>
        <w:t>violations</w:t>
      </w:r>
      <w:r w:rsidR="008D2D85" w:rsidRPr="00F61386">
        <w:rPr>
          <w:rFonts w:ascii="Tw Cen MT" w:hAnsi="Tw Cen MT"/>
          <w:sz w:val="24"/>
          <w:szCs w:val="24"/>
        </w:rPr>
        <w:t xml:space="preserve">; </w:t>
      </w:r>
    </w:p>
    <w:p w:rsidR="008D2D85" w:rsidRPr="00F61386" w:rsidRDefault="007B2B0F" w:rsidP="008D2D85">
      <w:pPr>
        <w:pStyle w:val="ListParagraph"/>
        <w:numPr>
          <w:ilvl w:val="4"/>
          <w:numId w:val="1"/>
        </w:numPr>
        <w:rPr>
          <w:rFonts w:ascii="Tw Cen MT" w:hAnsi="Tw Cen MT" w:cs="Times New Roman"/>
          <w:sz w:val="24"/>
          <w:szCs w:val="24"/>
        </w:rPr>
      </w:pPr>
      <w:r w:rsidRPr="00F61386">
        <w:rPr>
          <w:rFonts w:ascii="Tw Cen MT" w:hAnsi="Tw Cen MT"/>
          <w:sz w:val="24"/>
          <w:szCs w:val="24"/>
        </w:rPr>
        <w:t>the age and</w:t>
      </w:r>
      <w:r w:rsidR="008D2D85" w:rsidRPr="00F61386">
        <w:rPr>
          <w:rFonts w:ascii="Tw Cen MT" w:hAnsi="Tw Cen MT"/>
          <w:sz w:val="24"/>
          <w:szCs w:val="24"/>
        </w:rPr>
        <w:t xml:space="preserve"> duration of misconduct;</w:t>
      </w:r>
    </w:p>
    <w:p w:rsidR="008D2D85" w:rsidRPr="00F61386" w:rsidRDefault="007B2B0F" w:rsidP="008D2D85">
      <w:pPr>
        <w:pStyle w:val="ListParagraph"/>
        <w:numPr>
          <w:ilvl w:val="4"/>
          <w:numId w:val="1"/>
        </w:numPr>
        <w:rPr>
          <w:rFonts w:ascii="Tw Cen MT" w:hAnsi="Tw Cen MT" w:cs="Times New Roman"/>
          <w:sz w:val="24"/>
          <w:szCs w:val="24"/>
        </w:rPr>
      </w:pPr>
      <w:r w:rsidRPr="00F61386">
        <w:rPr>
          <w:rFonts w:ascii="Tw Cen MT" w:hAnsi="Tw Cen MT"/>
          <w:sz w:val="24"/>
          <w:szCs w:val="24"/>
        </w:rPr>
        <w:lastRenderedPageBreak/>
        <w:t xml:space="preserve">the number of violations and the isolated, repetitive, or ongoing nature of the violations; and </w:t>
      </w:r>
    </w:p>
    <w:p w:rsidR="007B2B0F" w:rsidRPr="00F61386" w:rsidRDefault="007B2B0F" w:rsidP="008D2D85">
      <w:pPr>
        <w:pStyle w:val="ListParagraph"/>
        <w:numPr>
          <w:ilvl w:val="4"/>
          <w:numId w:val="1"/>
        </w:numPr>
        <w:rPr>
          <w:rFonts w:ascii="Tw Cen MT" w:hAnsi="Tw Cen MT" w:cs="Times New Roman"/>
          <w:sz w:val="24"/>
          <w:szCs w:val="24"/>
        </w:rPr>
      </w:pPr>
      <w:r w:rsidRPr="00F61386">
        <w:rPr>
          <w:rFonts w:ascii="Tw Cen MT" w:hAnsi="Tw Cen MT"/>
          <w:sz w:val="24"/>
          <w:szCs w:val="24"/>
        </w:rPr>
        <w:t>the dangers to investors or others presented by the underlying violations inv</w:t>
      </w:r>
      <w:r w:rsidR="00612E16" w:rsidRPr="00F61386">
        <w:rPr>
          <w:rFonts w:ascii="Tw Cen MT" w:hAnsi="Tw Cen MT"/>
          <w:sz w:val="24"/>
          <w:szCs w:val="24"/>
        </w:rPr>
        <w:t>olved in the enforcement action</w:t>
      </w:r>
      <w:r w:rsidR="008D2D85" w:rsidRPr="00F61386">
        <w:rPr>
          <w:rFonts w:ascii="Tw Cen MT" w:hAnsi="Tw Cen MT"/>
          <w:sz w:val="24"/>
          <w:szCs w:val="24"/>
        </w:rPr>
        <w:t>.  Rule 21F-6(a)(3).</w:t>
      </w:r>
    </w:p>
    <w:p w:rsidR="008D2D85" w:rsidRPr="00F61386" w:rsidRDefault="008D2D85" w:rsidP="008D2D85">
      <w:pPr>
        <w:pStyle w:val="ListParagraph"/>
        <w:ind w:left="2880"/>
        <w:rPr>
          <w:rFonts w:ascii="Tw Cen MT" w:hAnsi="Tw Cen MT" w:cs="Times New Roman"/>
          <w:sz w:val="24"/>
          <w:szCs w:val="24"/>
        </w:rPr>
      </w:pPr>
    </w:p>
    <w:p w:rsidR="00F25F9D" w:rsidRPr="00F61386" w:rsidRDefault="007B2B0F" w:rsidP="008D2D85">
      <w:pPr>
        <w:pStyle w:val="ListParagraph"/>
        <w:numPr>
          <w:ilvl w:val="3"/>
          <w:numId w:val="1"/>
        </w:numPr>
        <w:rPr>
          <w:rFonts w:ascii="Tw Cen MT" w:hAnsi="Tw Cen MT" w:cs="Times New Roman"/>
          <w:sz w:val="24"/>
          <w:szCs w:val="24"/>
        </w:rPr>
      </w:pPr>
      <w:r w:rsidRPr="00F61386">
        <w:rPr>
          <w:rFonts w:ascii="Tw Cen MT" w:hAnsi="Tw Cen MT"/>
          <w:b/>
          <w:sz w:val="24"/>
          <w:szCs w:val="24"/>
        </w:rPr>
        <w:t>Participation in Internal Compliance Programs</w:t>
      </w:r>
      <w:r w:rsidRPr="00F61386">
        <w:rPr>
          <w:rFonts w:ascii="Tw Cen MT" w:hAnsi="Tw Cen MT"/>
          <w:sz w:val="24"/>
          <w:szCs w:val="24"/>
        </w:rPr>
        <w:t xml:space="preserve"> </w:t>
      </w:r>
      <w:r w:rsidR="003B291A" w:rsidRPr="00F61386">
        <w:rPr>
          <w:rFonts w:ascii="Tw Cen MT" w:hAnsi="Tw Cen MT"/>
          <w:sz w:val="24"/>
          <w:szCs w:val="24"/>
        </w:rPr>
        <w:t>–</w:t>
      </w:r>
      <w:r w:rsidR="00F25F9D" w:rsidRPr="00F61386">
        <w:rPr>
          <w:rFonts w:ascii="Tw Cen MT" w:hAnsi="Tw Cen MT"/>
          <w:sz w:val="24"/>
          <w:szCs w:val="24"/>
        </w:rPr>
        <w:t xml:space="preserve"> T</w:t>
      </w:r>
      <w:r w:rsidRPr="00F61386">
        <w:rPr>
          <w:rFonts w:ascii="Tw Cen MT" w:hAnsi="Tw Cen MT"/>
          <w:sz w:val="24"/>
          <w:szCs w:val="24"/>
        </w:rPr>
        <w:t xml:space="preserve">he </w:t>
      </w:r>
      <w:r w:rsidR="00F25F9D" w:rsidRPr="00F61386">
        <w:rPr>
          <w:rFonts w:ascii="Tw Cen MT" w:hAnsi="Tw Cen MT"/>
          <w:sz w:val="24"/>
          <w:szCs w:val="24"/>
        </w:rPr>
        <w:t>SEC</w:t>
      </w:r>
      <w:r w:rsidRPr="00F61386">
        <w:rPr>
          <w:rFonts w:ascii="Tw Cen MT" w:hAnsi="Tw Cen MT"/>
          <w:sz w:val="24"/>
          <w:szCs w:val="24"/>
        </w:rPr>
        <w:t xml:space="preserve"> may take </w:t>
      </w:r>
      <w:r w:rsidR="00F25F9D" w:rsidRPr="00F61386">
        <w:rPr>
          <w:rFonts w:ascii="Tw Cen MT" w:hAnsi="Tw Cen MT"/>
          <w:sz w:val="24"/>
          <w:szCs w:val="24"/>
        </w:rPr>
        <w:t xml:space="preserve">into account: </w:t>
      </w:r>
    </w:p>
    <w:p w:rsidR="00F25F9D" w:rsidRPr="00F61386" w:rsidRDefault="00F25F9D" w:rsidP="00F25F9D">
      <w:pPr>
        <w:pStyle w:val="ListParagraph"/>
        <w:numPr>
          <w:ilvl w:val="4"/>
          <w:numId w:val="1"/>
        </w:numPr>
        <w:rPr>
          <w:rFonts w:ascii="Tw Cen MT" w:hAnsi="Tw Cen MT" w:cs="Times New Roman"/>
          <w:sz w:val="24"/>
          <w:szCs w:val="24"/>
        </w:rPr>
      </w:pPr>
      <w:r w:rsidRPr="00F61386">
        <w:rPr>
          <w:rFonts w:ascii="Tw Cen MT" w:hAnsi="Tw Cen MT"/>
          <w:sz w:val="24"/>
          <w:szCs w:val="24"/>
        </w:rPr>
        <w:t xml:space="preserve">Whether </w:t>
      </w:r>
      <w:r w:rsidR="007B2B0F" w:rsidRPr="00F61386">
        <w:rPr>
          <w:rFonts w:ascii="Tw Cen MT" w:hAnsi="Tw Cen MT"/>
          <w:sz w:val="24"/>
          <w:szCs w:val="24"/>
        </w:rPr>
        <w:t>a whistleblower reported the possible violations through internal compliance procedures before</w:t>
      </w:r>
      <w:r w:rsidRPr="00F61386">
        <w:rPr>
          <w:rFonts w:ascii="Tw Cen MT" w:hAnsi="Tw Cen MT"/>
          <w:sz w:val="24"/>
          <w:szCs w:val="24"/>
        </w:rPr>
        <w:t xml:space="preserve"> </w:t>
      </w:r>
      <w:r w:rsidR="007B2B0F" w:rsidRPr="00F61386">
        <w:rPr>
          <w:rFonts w:ascii="Tw Cen MT" w:hAnsi="Tw Cen MT"/>
          <w:sz w:val="24"/>
          <w:szCs w:val="24"/>
        </w:rPr>
        <w:t>reporting th</w:t>
      </w:r>
      <w:r w:rsidRPr="00F61386">
        <w:rPr>
          <w:rFonts w:ascii="Tw Cen MT" w:hAnsi="Tw Cen MT"/>
          <w:sz w:val="24"/>
          <w:szCs w:val="24"/>
        </w:rPr>
        <w:t xml:space="preserve">em to the SEC; and </w:t>
      </w:r>
    </w:p>
    <w:p w:rsidR="007B2B0F" w:rsidRPr="00F61386" w:rsidRDefault="00F25F9D" w:rsidP="00F25F9D">
      <w:pPr>
        <w:pStyle w:val="ListParagraph"/>
        <w:numPr>
          <w:ilvl w:val="4"/>
          <w:numId w:val="1"/>
        </w:numPr>
        <w:rPr>
          <w:rFonts w:ascii="Tw Cen MT" w:hAnsi="Tw Cen MT" w:cs="Times New Roman"/>
          <w:sz w:val="24"/>
          <w:szCs w:val="24"/>
        </w:rPr>
      </w:pPr>
      <w:r w:rsidRPr="00F61386">
        <w:rPr>
          <w:rFonts w:ascii="Tw Cen MT" w:hAnsi="Tw Cen MT"/>
          <w:sz w:val="24"/>
          <w:szCs w:val="24"/>
        </w:rPr>
        <w:t>whether</w:t>
      </w:r>
      <w:r w:rsidR="007B2B0F" w:rsidRPr="00F61386">
        <w:rPr>
          <w:rFonts w:ascii="Tw Cen MT" w:hAnsi="Tw Cen MT"/>
          <w:sz w:val="24"/>
          <w:szCs w:val="24"/>
        </w:rPr>
        <w:t xml:space="preserve"> a whistleblower assisted any internal investigation concerning the reported violations.</w:t>
      </w:r>
      <w:r w:rsidRPr="00F61386">
        <w:rPr>
          <w:rFonts w:ascii="Tw Cen MT" w:hAnsi="Tw Cen MT"/>
          <w:sz w:val="24"/>
          <w:szCs w:val="24"/>
        </w:rPr>
        <w:t xml:space="preserve">  Rule 21F-6(a)(4).</w:t>
      </w:r>
    </w:p>
    <w:p w:rsidR="008D2D85" w:rsidRPr="00F61386" w:rsidRDefault="008D2D85" w:rsidP="008D2D85">
      <w:pPr>
        <w:pStyle w:val="ListParagraph"/>
        <w:ind w:left="2880"/>
        <w:rPr>
          <w:rFonts w:ascii="Tw Cen MT" w:hAnsi="Tw Cen MT" w:cs="Times New Roman"/>
          <w:sz w:val="24"/>
          <w:szCs w:val="24"/>
        </w:rPr>
      </w:pPr>
    </w:p>
    <w:p w:rsidR="008D2D85" w:rsidRPr="00F61386" w:rsidRDefault="00C50CDE" w:rsidP="00826606">
      <w:pPr>
        <w:pStyle w:val="ListParagraph"/>
        <w:numPr>
          <w:ilvl w:val="3"/>
          <w:numId w:val="1"/>
        </w:numPr>
        <w:rPr>
          <w:rFonts w:ascii="Tw Cen MT" w:hAnsi="Tw Cen MT" w:cs="Times New Roman"/>
          <w:sz w:val="24"/>
          <w:szCs w:val="24"/>
        </w:rPr>
      </w:pPr>
      <w:r w:rsidRPr="00F61386">
        <w:rPr>
          <w:rFonts w:ascii="Tw Cen MT" w:hAnsi="Tw Cen MT"/>
          <w:b/>
          <w:sz w:val="24"/>
          <w:szCs w:val="24"/>
        </w:rPr>
        <w:t>120-Day Look Back Provision</w:t>
      </w:r>
      <w:r w:rsidRPr="00F61386">
        <w:rPr>
          <w:rFonts w:ascii="Tw Cen MT" w:hAnsi="Tw Cen MT"/>
          <w:sz w:val="24"/>
          <w:szCs w:val="24"/>
        </w:rPr>
        <w:t xml:space="preserve"> </w:t>
      </w:r>
      <w:r w:rsidR="00F25F9D" w:rsidRPr="00F61386">
        <w:rPr>
          <w:rFonts w:ascii="Tw Cen MT" w:hAnsi="Tw Cen MT"/>
          <w:sz w:val="24"/>
          <w:szCs w:val="24"/>
        </w:rPr>
        <w:t xml:space="preserve">– </w:t>
      </w:r>
      <w:r w:rsidR="00E67871" w:rsidRPr="00F61386">
        <w:rPr>
          <w:rFonts w:ascii="Tw Cen MT" w:hAnsi="Tw Cen MT"/>
          <w:sz w:val="24"/>
          <w:szCs w:val="24"/>
        </w:rPr>
        <w:t>I</w:t>
      </w:r>
      <w:r w:rsidRPr="00F61386">
        <w:rPr>
          <w:rFonts w:ascii="Tw Cen MT" w:hAnsi="Tw Cen MT"/>
          <w:sz w:val="24"/>
          <w:szCs w:val="24"/>
        </w:rPr>
        <w:t xml:space="preserve">f the whistleblower provides information to an internal compliance program, the whistleblower </w:t>
      </w:r>
      <w:r w:rsidR="00E67871" w:rsidRPr="00F61386">
        <w:rPr>
          <w:rFonts w:ascii="Tw Cen MT" w:hAnsi="Tw Cen MT"/>
          <w:sz w:val="24"/>
          <w:szCs w:val="24"/>
        </w:rPr>
        <w:t xml:space="preserve">will have a 120-day period to </w:t>
      </w:r>
      <w:r w:rsidRPr="00F61386">
        <w:rPr>
          <w:rFonts w:ascii="Tw Cen MT" w:hAnsi="Tw Cen MT"/>
          <w:sz w:val="24"/>
          <w:szCs w:val="24"/>
        </w:rPr>
        <w:t xml:space="preserve">alert the SEC of the same information and still be considered to have provided original information </w:t>
      </w:r>
      <w:r w:rsidR="00E67871" w:rsidRPr="00F61386">
        <w:rPr>
          <w:rFonts w:ascii="Tw Cen MT" w:hAnsi="Tw Cen MT"/>
          <w:sz w:val="24"/>
          <w:szCs w:val="24"/>
        </w:rPr>
        <w:t>on Day 1</w:t>
      </w:r>
      <w:r w:rsidRPr="00F61386">
        <w:rPr>
          <w:rFonts w:ascii="Tw Cen MT" w:hAnsi="Tw Cen MT"/>
          <w:sz w:val="24"/>
          <w:szCs w:val="24"/>
        </w:rPr>
        <w:t>.</w:t>
      </w:r>
      <w:r w:rsidR="00E67871" w:rsidRPr="00F61386">
        <w:rPr>
          <w:rFonts w:ascii="Tw Cen MT" w:hAnsi="Tw Cen MT"/>
          <w:sz w:val="24"/>
          <w:szCs w:val="24"/>
        </w:rPr>
        <w:t xml:space="preserve">  Rule 21F-4(b)(7).</w:t>
      </w:r>
    </w:p>
    <w:p w:rsidR="00E67871" w:rsidRPr="00F61386" w:rsidRDefault="00E67871" w:rsidP="00E67871">
      <w:pPr>
        <w:pStyle w:val="ListParagraph"/>
        <w:ind w:left="2880"/>
        <w:rPr>
          <w:rFonts w:ascii="Tw Cen MT" w:hAnsi="Tw Cen MT" w:cs="Times New Roman"/>
          <w:sz w:val="24"/>
          <w:szCs w:val="24"/>
        </w:rPr>
      </w:pPr>
    </w:p>
    <w:p w:rsidR="007B2B0F" w:rsidRPr="00F61386" w:rsidRDefault="007B2B0F" w:rsidP="008D2D85">
      <w:pPr>
        <w:pStyle w:val="ListParagraph"/>
        <w:numPr>
          <w:ilvl w:val="2"/>
          <w:numId w:val="1"/>
        </w:numPr>
        <w:rPr>
          <w:rFonts w:ascii="Tw Cen MT" w:hAnsi="Tw Cen MT" w:cs="Times New Roman"/>
          <w:sz w:val="24"/>
          <w:szCs w:val="24"/>
        </w:rPr>
      </w:pPr>
      <w:r w:rsidRPr="00F61386">
        <w:rPr>
          <w:rFonts w:ascii="Tw Cen MT" w:hAnsi="Tw Cen MT" w:cs="Times New Roman"/>
          <w:b/>
          <w:sz w:val="24"/>
          <w:szCs w:val="24"/>
        </w:rPr>
        <w:t>Decreasing Factors</w:t>
      </w:r>
    </w:p>
    <w:p w:rsidR="00261608" w:rsidRPr="00F61386" w:rsidRDefault="00261608" w:rsidP="00261608">
      <w:pPr>
        <w:pStyle w:val="ListParagraph"/>
        <w:ind w:left="2160"/>
        <w:rPr>
          <w:rFonts w:ascii="Tw Cen MT" w:hAnsi="Tw Cen MT" w:cs="Times New Roman"/>
          <w:sz w:val="24"/>
          <w:szCs w:val="24"/>
        </w:rPr>
      </w:pPr>
    </w:p>
    <w:p w:rsidR="00C37BEC" w:rsidRPr="00F61386" w:rsidRDefault="007B2B0F" w:rsidP="008D2D85">
      <w:pPr>
        <w:pStyle w:val="ListParagraph"/>
        <w:numPr>
          <w:ilvl w:val="3"/>
          <w:numId w:val="1"/>
        </w:numPr>
        <w:rPr>
          <w:rFonts w:ascii="Tw Cen MT" w:hAnsi="Tw Cen MT" w:cs="Times New Roman"/>
          <w:sz w:val="24"/>
          <w:szCs w:val="24"/>
        </w:rPr>
      </w:pPr>
      <w:r w:rsidRPr="00F61386">
        <w:rPr>
          <w:rFonts w:ascii="Tw Cen MT" w:hAnsi="Tw Cen MT"/>
          <w:b/>
          <w:sz w:val="24"/>
          <w:szCs w:val="24"/>
        </w:rPr>
        <w:t>Whistleblower Culpability</w:t>
      </w:r>
      <w:r w:rsidR="00C37BEC" w:rsidRPr="00F61386">
        <w:rPr>
          <w:rFonts w:ascii="Tw Cen MT" w:hAnsi="Tw Cen MT"/>
          <w:sz w:val="24"/>
          <w:szCs w:val="24"/>
        </w:rPr>
        <w:t xml:space="preserve"> – </w:t>
      </w:r>
      <w:r w:rsidRPr="00F61386">
        <w:rPr>
          <w:rFonts w:ascii="Tw Cen MT" w:hAnsi="Tw Cen MT"/>
          <w:sz w:val="24"/>
          <w:szCs w:val="24"/>
        </w:rPr>
        <w:t xml:space="preserve"> </w:t>
      </w:r>
      <w:r w:rsidR="00C37BEC" w:rsidRPr="00F61386">
        <w:rPr>
          <w:rFonts w:ascii="Tw Cen MT" w:hAnsi="Tw Cen MT"/>
          <w:sz w:val="24"/>
          <w:szCs w:val="24"/>
        </w:rPr>
        <w:t>The SEC m</w:t>
      </w:r>
      <w:r w:rsidRPr="00F61386">
        <w:rPr>
          <w:rFonts w:ascii="Tw Cen MT" w:hAnsi="Tw Cen MT"/>
          <w:sz w:val="24"/>
          <w:szCs w:val="24"/>
        </w:rPr>
        <w:t>ay take into account</w:t>
      </w:r>
      <w:r w:rsidR="00C37BEC" w:rsidRPr="00F61386">
        <w:rPr>
          <w:rFonts w:ascii="Tw Cen MT" w:hAnsi="Tw Cen MT"/>
          <w:sz w:val="24"/>
          <w:szCs w:val="24"/>
        </w:rPr>
        <w:t>:</w:t>
      </w:r>
    </w:p>
    <w:p w:rsidR="00C37BEC" w:rsidRPr="00F61386" w:rsidRDefault="007B2B0F" w:rsidP="00C37BEC">
      <w:pPr>
        <w:pStyle w:val="ListParagraph"/>
        <w:numPr>
          <w:ilvl w:val="4"/>
          <w:numId w:val="1"/>
        </w:numPr>
        <w:rPr>
          <w:rFonts w:ascii="Tw Cen MT" w:hAnsi="Tw Cen MT" w:cs="Times New Roman"/>
          <w:sz w:val="24"/>
          <w:szCs w:val="24"/>
        </w:rPr>
      </w:pPr>
      <w:r w:rsidRPr="00F61386">
        <w:rPr>
          <w:rFonts w:ascii="Tw Cen MT" w:hAnsi="Tw Cen MT"/>
          <w:sz w:val="24"/>
          <w:szCs w:val="24"/>
        </w:rPr>
        <w:t xml:space="preserve">role in the </w:t>
      </w:r>
      <w:r w:rsidR="00C37BEC" w:rsidRPr="00F61386">
        <w:rPr>
          <w:rFonts w:ascii="Tw Cen MT" w:hAnsi="Tw Cen MT"/>
          <w:sz w:val="24"/>
          <w:szCs w:val="24"/>
        </w:rPr>
        <w:t xml:space="preserve">violations; </w:t>
      </w:r>
    </w:p>
    <w:p w:rsidR="00C37BEC" w:rsidRPr="00F61386" w:rsidRDefault="007B2B0F" w:rsidP="00C37BEC">
      <w:pPr>
        <w:pStyle w:val="ListParagraph"/>
        <w:numPr>
          <w:ilvl w:val="4"/>
          <w:numId w:val="1"/>
        </w:numPr>
        <w:rPr>
          <w:rFonts w:ascii="Tw Cen MT" w:hAnsi="Tw Cen MT" w:cs="Times New Roman"/>
          <w:sz w:val="24"/>
          <w:szCs w:val="24"/>
        </w:rPr>
      </w:pPr>
      <w:r w:rsidRPr="00F61386">
        <w:rPr>
          <w:rFonts w:ascii="Tw Cen MT" w:hAnsi="Tw Cen MT"/>
          <w:sz w:val="24"/>
          <w:szCs w:val="24"/>
        </w:rPr>
        <w:t>education, training, experience,</w:t>
      </w:r>
      <w:r w:rsidR="00C37BEC" w:rsidRPr="00F61386">
        <w:rPr>
          <w:rFonts w:ascii="Tw Cen MT" w:hAnsi="Tw Cen MT"/>
          <w:sz w:val="24"/>
          <w:szCs w:val="24"/>
        </w:rPr>
        <w:t xml:space="preserve"> and position of responsibility;</w:t>
      </w:r>
      <w:r w:rsidRPr="00F61386">
        <w:rPr>
          <w:rFonts w:ascii="Tw Cen MT" w:hAnsi="Tw Cen MT"/>
          <w:sz w:val="24"/>
          <w:szCs w:val="24"/>
        </w:rPr>
        <w:t xml:space="preserve"> </w:t>
      </w:r>
    </w:p>
    <w:p w:rsidR="00C37BEC" w:rsidRPr="00F61386" w:rsidRDefault="00C37BEC" w:rsidP="00C37BEC">
      <w:pPr>
        <w:pStyle w:val="ListParagraph"/>
        <w:numPr>
          <w:ilvl w:val="4"/>
          <w:numId w:val="1"/>
        </w:numPr>
        <w:rPr>
          <w:rFonts w:ascii="Tw Cen MT" w:hAnsi="Tw Cen MT" w:cs="Times New Roman"/>
          <w:sz w:val="24"/>
          <w:szCs w:val="24"/>
        </w:rPr>
      </w:pPr>
      <w:r w:rsidRPr="00F61386">
        <w:rPr>
          <w:rFonts w:ascii="Tw Cen MT" w:hAnsi="Tw Cen MT"/>
          <w:sz w:val="24"/>
          <w:szCs w:val="24"/>
        </w:rPr>
        <w:t>acting with scienter</w:t>
      </w:r>
      <w:r w:rsidR="007B2B0F" w:rsidRPr="00F61386">
        <w:rPr>
          <w:rFonts w:ascii="Tw Cen MT" w:hAnsi="Tw Cen MT"/>
          <w:sz w:val="24"/>
          <w:szCs w:val="24"/>
        </w:rPr>
        <w:t xml:space="preserve">; </w:t>
      </w:r>
    </w:p>
    <w:p w:rsidR="00C37BEC" w:rsidRPr="00F61386" w:rsidRDefault="007B2B0F" w:rsidP="00C37BEC">
      <w:pPr>
        <w:pStyle w:val="ListParagraph"/>
        <w:numPr>
          <w:ilvl w:val="4"/>
          <w:numId w:val="1"/>
        </w:numPr>
        <w:rPr>
          <w:rFonts w:ascii="Tw Cen MT" w:hAnsi="Tw Cen MT" w:cs="Times New Roman"/>
          <w:sz w:val="24"/>
          <w:szCs w:val="24"/>
        </w:rPr>
      </w:pPr>
      <w:r w:rsidRPr="00F61386">
        <w:rPr>
          <w:rFonts w:ascii="Tw Cen MT" w:hAnsi="Tw Cen MT"/>
          <w:sz w:val="24"/>
          <w:szCs w:val="24"/>
        </w:rPr>
        <w:t>financial</w:t>
      </w:r>
      <w:r w:rsidR="00C37BEC" w:rsidRPr="00F61386">
        <w:rPr>
          <w:rFonts w:ascii="Tw Cen MT" w:hAnsi="Tw Cen MT"/>
          <w:sz w:val="24"/>
          <w:szCs w:val="24"/>
        </w:rPr>
        <w:t xml:space="preserve"> benefit</w:t>
      </w:r>
      <w:r w:rsidRPr="00F61386">
        <w:rPr>
          <w:rFonts w:ascii="Tw Cen MT" w:hAnsi="Tw Cen MT"/>
          <w:sz w:val="24"/>
          <w:szCs w:val="24"/>
        </w:rPr>
        <w:t xml:space="preserve">; </w:t>
      </w:r>
    </w:p>
    <w:p w:rsidR="00C37BEC" w:rsidRPr="00F61386" w:rsidRDefault="007B2B0F" w:rsidP="00C37BEC">
      <w:pPr>
        <w:pStyle w:val="ListParagraph"/>
        <w:numPr>
          <w:ilvl w:val="4"/>
          <w:numId w:val="1"/>
        </w:numPr>
        <w:rPr>
          <w:rFonts w:ascii="Tw Cen MT" w:hAnsi="Tw Cen MT" w:cs="Times New Roman"/>
          <w:sz w:val="24"/>
          <w:szCs w:val="24"/>
        </w:rPr>
      </w:pPr>
      <w:r w:rsidRPr="00F61386">
        <w:rPr>
          <w:rFonts w:ascii="Tw Cen MT" w:hAnsi="Tw Cen MT"/>
          <w:sz w:val="24"/>
          <w:szCs w:val="24"/>
        </w:rPr>
        <w:t>recidivis</w:t>
      </w:r>
      <w:r w:rsidR="00C37BEC" w:rsidRPr="00F61386">
        <w:rPr>
          <w:rFonts w:ascii="Tw Cen MT" w:hAnsi="Tw Cen MT"/>
          <w:sz w:val="24"/>
          <w:szCs w:val="24"/>
        </w:rPr>
        <w:t>m</w:t>
      </w:r>
      <w:r w:rsidRPr="00F61386">
        <w:rPr>
          <w:rFonts w:ascii="Tw Cen MT" w:hAnsi="Tw Cen MT"/>
          <w:sz w:val="24"/>
          <w:szCs w:val="24"/>
        </w:rPr>
        <w:t xml:space="preserve">; </w:t>
      </w:r>
    </w:p>
    <w:p w:rsidR="00C37BEC" w:rsidRPr="00F61386" w:rsidRDefault="007B2B0F" w:rsidP="00C37BEC">
      <w:pPr>
        <w:pStyle w:val="ListParagraph"/>
        <w:numPr>
          <w:ilvl w:val="4"/>
          <w:numId w:val="1"/>
        </w:numPr>
        <w:rPr>
          <w:rFonts w:ascii="Tw Cen MT" w:hAnsi="Tw Cen MT" w:cs="Times New Roman"/>
          <w:sz w:val="24"/>
          <w:szCs w:val="24"/>
        </w:rPr>
      </w:pPr>
      <w:r w:rsidRPr="00F61386">
        <w:rPr>
          <w:rFonts w:ascii="Tw Cen MT" w:hAnsi="Tw Cen MT"/>
          <w:sz w:val="24"/>
          <w:szCs w:val="24"/>
        </w:rPr>
        <w:t xml:space="preserve">egregiousness of the underlying fraud; and </w:t>
      </w:r>
    </w:p>
    <w:p w:rsidR="007B2B0F" w:rsidRPr="00F61386" w:rsidRDefault="00C37BEC" w:rsidP="00C37BEC">
      <w:pPr>
        <w:pStyle w:val="ListParagraph"/>
        <w:numPr>
          <w:ilvl w:val="4"/>
          <w:numId w:val="1"/>
        </w:numPr>
        <w:rPr>
          <w:rFonts w:ascii="Tw Cen MT" w:hAnsi="Tw Cen MT" w:cs="Times New Roman"/>
          <w:sz w:val="24"/>
          <w:szCs w:val="24"/>
        </w:rPr>
      </w:pPr>
      <w:r w:rsidRPr="00F61386">
        <w:rPr>
          <w:rFonts w:ascii="Tw Cen MT" w:hAnsi="Tw Cen MT"/>
          <w:sz w:val="24"/>
          <w:szCs w:val="24"/>
        </w:rPr>
        <w:t>knowingly interference with the SEC’s</w:t>
      </w:r>
      <w:r w:rsidR="007B2B0F" w:rsidRPr="00F61386">
        <w:rPr>
          <w:rFonts w:ascii="Tw Cen MT" w:hAnsi="Tw Cen MT"/>
          <w:sz w:val="24"/>
          <w:szCs w:val="24"/>
        </w:rPr>
        <w:t xml:space="preserve"> investigation</w:t>
      </w:r>
      <w:r w:rsidRPr="00F61386">
        <w:rPr>
          <w:rFonts w:ascii="Tw Cen MT" w:hAnsi="Tw Cen MT"/>
          <w:sz w:val="24"/>
          <w:szCs w:val="24"/>
        </w:rPr>
        <w:t>.  Rule 21F-6(b)(1).</w:t>
      </w:r>
    </w:p>
    <w:p w:rsidR="00C37BEC" w:rsidRPr="00F61386" w:rsidRDefault="00C37BEC" w:rsidP="00C37BEC">
      <w:pPr>
        <w:pStyle w:val="ListParagraph"/>
        <w:ind w:left="3600"/>
        <w:rPr>
          <w:rFonts w:ascii="Tw Cen MT" w:hAnsi="Tw Cen MT" w:cs="Times New Roman"/>
          <w:sz w:val="24"/>
          <w:szCs w:val="24"/>
        </w:rPr>
      </w:pPr>
    </w:p>
    <w:p w:rsidR="007B2B0F" w:rsidRPr="00F61386" w:rsidRDefault="007B2B0F" w:rsidP="008D2D85">
      <w:pPr>
        <w:pStyle w:val="ListParagraph"/>
        <w:numPr>
          <w:ilvl w:val="3"/>
          <w:numId w:val="1"/>
        </w:numPr>
        <w:rPr>
          <w:rFonts w:ascii="Tw Cen MT" w:hAnsi="Tw Cen MT" w:cs="Times New Roman"/>
          <w:sz w:val="24"/>
          <w:szCs w:val="24"/>
        </w:rPr>
      </w:pPr>
      <w:r w:rsidRPr="00F61386">
        <w:rPr>
          <w:rFonts w:ascii="Tw Cen MT" w:hAnsi="Tw Cen MT"/>
          <w:b/>
          <w:sz w:val="24"/>
          <w:szCs w:val="24"/>
        </w:rPr>
        <w:t>Delay in Reporting Violation</w:t>
      </w:r>
      <w:r w:rsidR="007C0CED" w:rsidRPr="00F61386">
        <w:rPr>
          <w:rFonts w:ascii="Tw Cen MT" w:hAnsi="Tw Cen MT"/>
          <w:sz w:val="24"/>
          <w:szCs w:val="24"/>
        </w:rPr>
        <w:t xml:space="preserve"> – Factors </w:t>
      </w:r>
      <w:r w:rsidRPr="00F61386">
        <w:rPr>
          <w:rFonts w:ascii="Tw Cen MT" w:hAnsi="Tw Cen MT"/>
          <w:sz w:val="24"/>
          <w:szCs w:val="24"/>
        </w:rPr>
        <w:t>include:</w:t>
      </w:r>
    </w:p>
    <w:p w:rsidR="007C0CED" w:rsidRPr="00F61386" w:rsidRDefault="007C0CED" w:rsidP="008D2D85">
      <w:pPr>
        <w:pStyle w:val="ListParagraph"/>
        <w:numPr>
          <w:ilvl w:val="4"/>
          <w:numId w:val="1"/>
        </w:numPr>
        <w:rPr>
          <w:rFonts w:ascii="Tw Cen MT" w:hAnsi="Tw Cen MT" w:cs="Times New Roman"/>
          <w:sz w:val="24"/>
          <w:szCs w:val="24"/>
        </w:rPr>
      </w:pPr>
      <w:r w:rsidRPr="00F61386">
        <w:rPr>
          <w:rFonts w:ascii="Tw Cen MT" w:hAnsi="Tw Cen MT"/>
          <w:sz w:val="24"/>
          <w:szCs w:val="24"/>
        </w:rPr>
        <w:t xml:space="preserve">Failure to report or prevent violations after becoming aware </w:t>
      </w:r>
      <w:r w:rsidR="007B2B0F" w:rsidRPr="00F61386">
        <w:rPr>
          <w:rFonts w:ascii="Tw Cen MT" w:hAnsi="Tw Cen MT"/>
          <w:sz w:val="24"/>
          <w:szCs w:val="24"/>
        </w:rPr>
        <w:t>of the relevant facts</w:t>
      </w:r>
      <w:r w:rsidRPr="00F61386">
        <w:rPr>
          <w:rFonts w:ascii="Tw Cen MT" w:hAnsi="Tw Cen MT"/>
          <w:sz w:val="24"/>
          <w:szCs w:val="24"/>
        </w:rPr>
        <w:t xml:space="preserve">; </w:t>
      </w:r>
    </w:p>
    <w:p w:rsidR="007C0CED" w:rsidRPr="00F61386" w:rsidRDefault="007C0CED" w:rsidP="008D2D85">
      <w:pPr>
        <w:pStyle w:val="ListParagraph"/>
        <w:numPr>
          <w:ilvl w:val="4"/>
          <w:numId w:val="1"/>
        </w:numPr>
        <w:rPr>
          <w:rFonts w:ascii="Tw Cen MT" w:hAnsi="Tw Cen MT" w:cs="Times New Roman"/>
          <w:sz w:val="24"/>
          <w:szCs w:val="24"/>
        </w:rPr>
      </w:pPr>
      <w:r w:rsidRPr="00F61386">
        <w:rPr>
          <w:rFonts w:ascii="Tw Cen MT" w:hAnsi="Tw Cen MT"/>
          <w:sz w:val="24"/>
          <w:szCs w:val="24"/>
        </w:rPr>
        <w:t xml:space="preserve">Reporting only after </w:t>
      </w:r>
      <w:r w:rsidR="007B2B0F" w:rsidRPr="00F61386">
        <w:rPr>
          <w:rFonts w:ascii="Tw Cen MT" w:hAnsi="Tw Cen MT"/>
          <w:sz w:val="24"/>
          <w:szCs w:val="24"/>
        </w:rPr>
        <w:t xml:space="preserve">learning about a related investigation </w:t>
      </w:r>
      <w:r w:rsidRPr="00F61386">
        <w:rPr>
          <w:rFonts w:ascii="Tw Cen MT" w:hAnsi="Tw Cen MT"/>
          <w:sz w:val="24"/>
          <w:szCs w:val="24"/>
        </w:rPr>
        <w:t>or enforcement action; and</w:t>
      </w:r>
      <w:r w:rsidR="007B2B0F" w:rsidRPr="00F61386">
        <w:rPr>
          <w:rFonts w:ascii="Tw Cen MT" w:hAnsi="Tw Cen MT"/>
          <w:sz w:val="24"/>
          <w:szCs w:val="24"/>
        </w:rPr>
        <w:t xml:space="preserve"> </w:t>
      </w:r>
    </w:p>
    <w:p w:rsidR="007B2B0F" w:rsidRPr="00F61386" w:rsidRDefault="007C0CED" w:rsidP="008D2D85">
      <w:pPr>
        <w:pStyle w:val="ListParagraph"/>
        <w:numPr>
          <w:ilvl w:val="4"/>
          <w:numId w:val="1"/>
        </w:numPr>
        <w:rPr>
          <w:rFonts w:ascii="Tw Cen MT" w:hAnsi="Tw Cen MT" w:cs="Times New Roman"/>
          <w:sz w:val="24"/>
          <w:szCs w:val="24"/>
        </w:rPr>
      </w:pPr>
      <w:r w:rsidRPr="00F61386">
        <w:rPr>
          <w:rFonts w:ascii="Tw Cen MT" w:hAnsi="Tw Cen MT"/>
          <w:sz w:val="24"/>
          <w:szCs w:val="24"/>
        </w:rPr>
        <w:t xml:space="preserve">Any </w:t>
      </w:r>
      <w:r w:rsidR="007B2B0F" w:rsidRPr="00F61386">
        <w:rPr>
          <w:rFonts w:ascii="Tw Cen MT" w:hAnsi="Tw Cen MT"/>
          <w:sz w:val="24"/>
          <w:szCs w:val="24"/>
        </w:rPr>
        <w:t>legitimate reason to d</w:t>
      </w:r>
      <w:r w:rsidRPr="00F61386">
        <w:rPr>
          <w:rFonts w:ascii="Tw Cen MT" w:hAnsi="Tw Cen MT"/>
          <w:sz w:val="24"/>
          <w:szCs w:val="24"/>
        </w:rPr>
        <w:t>elay reporting. Rule 21F-6(b)(2).</w:t>
      </w:r>
    </w:p>
    <w:p w:rsidR="008209D7" w:rsidRPr="00F61386" w:rsidRDefault="008209D7" w:rsidP="008209D7">
      <w:pPr>
        <w:pStyle w:val="ListParagraph"/>
        <w:ind w:left="3600"/>
        <w:rPr>
          <w:rFonts w:ascii="Tw Cen MT" w:hAnsi="Tw Cen MT" w:cs="Times New Roman"/>
          <w:sz w:val="24"/>
          <w:szCs w:val="24"/>
        </w:rPr>
      </w:pPr>
    </w:p>
    <w:p w:rsidR="008209D7" w:rsidRPr="00F61386" w:rsidRDefault="007B2B0F" w:rsidP="008D2D85">
      <w:pPr>
        <w:pStyle w:val="ListParagraph"/>
        <w:numPr>
          <w:ilvl w:val="3"/>
          <w:numId w:val="1"/>
        </w:numPr>
        <w:rPr>
          <w:rFonts w:ascii="Tw Cen MT" w:hAnsi="Tw Cen MT" w:cs="Times New Roman"/>
          <w:sz w:val="24"/>
          <w:szCs w:val="24"/>
        </w:rPr>
      </w:pPr>
      <w:r w:rsidRPr="00F61386">
        <w:rPr>
          <w:rFonts w:ascii="Tw Cen MT" w:hAnsi="Tw Cen MT"/>
          <w:b/>
          <w:sz w:val="24"/>
          <w:szCs w:val="24"/>
        </w:rPr>
        <w:t>Interference with Internal Compliance Programs</w:t>
      </w:r>
      <w:r w:rsidRPr="00F61386">
        <w:rPr>
          <w:rFonts w:ascii="Tw Cen MT" w:hAnsi="Tw Cen MT"/>
          <w:sz w:val="24"/>
          <w:szCs w:val="24"/>
        </w:rPr>
        <w:t xml:space="preserve"> </w:t>
      </w:r>
      <w:r w:rsidR="008209D7" w:rsidRPr="00F61386">
        <w:rPr>
          <w:rFonts w:ascii="Tw Cen MT" w:hAnsi="Tw Cen MT"/>
          <w:sz w:val="24"/>
          <w:szCs w:val="24"/>
        </w:rPr>
        <w:t xml:space="preserve">– </w:t>
      </w:r>
      <w:r w:rsidRPr="00F61386">
        <w:rPr>
          <w:rFonts w:ascii="Tw Cen MT" w:hAnsi="Tw Cen MT"/>
          <w:sz w:val="24"/>
          <w:szCs w:val="24"/>
        </w:rPr>
        <w:t>Factors include whether the whist</w:t>
      </w:r>
      <w:r w:rsidR="008209D7" w:rsidRPr="00F61386">
        <w:rPr>
          <w:rFonts w:ascii="Tw Cen MT" w:hAnsi="Tw Cen MT"/>
          <w:sz w:val="24"/>
          <w:szCs w:val="24"/>
        </w:rPr>
        <w:t xml:space="preserve">leblower knowingly: </w:t>
      </w:r>
    </w:p>
    <w:p w:rsidR="008209D7" w:rsidRPr="00F61386" w:rsidRDefault="007B2B0F" w:rsidP="008209D7">
      <w:pPr>
        <w:pStyle w:val="ListParagraph"/>
        <w:numPr>
          <w:ilvl w:val="4"/>
          <w:numId w:val="1"/>
        </w:numPr>
        <w:rPr>
          <w:rFonts w:ascii="Tw Cen MT" w:hAnsi="Tw Cen MT" w:cs="Times New Roman"/>
          <w:sz w:val="24"/>
          <w:szCs w:val="24"/>
        </w:rPr>
      </w:pPr>
      <w:r w:rsidRPr="00F61386">
        <w:rPr>
          <w:rFonts w:ascii="Tw Cen MT" w:hAnsi="Tw Cen MT"/>
          <w:sz w:val="24"/>
          <w:szCs w:val="24"/>
        </w:rPr>
        <w:lastRenderedPageBreak/>
        <w:t>interfered with an entity’s established legal, compliance, or audit procedures to prevent or delay dete</w:t>
      </w:r>
      <w:r w:rsidR="008209D7" w:rsidRPr="00F61386">
        <w:rPr>
          <w:rFonts w:ascii="Tw Cen MT" w:hAnsi="Tw Cen MT"/>
          <w:sz w:val="24"/>
          <w:szCs w:val="24"/>
        </w:rPr>
        <w:t xml:space="preserve">ction of the reported violation; </w:t>
      </w:r>
    </w:p>
    <w:p w:rsidR="008209D7" w:rsidRPr="00F61386" w:rsidRDefault="007B2B0F" w:rsidP="008209D7">
      <w:pPr>
        <w:pStyle w:val="ListParagraph"/>
        <w:numPr>
          <w:ilvl w:val="4"/>
          <w:numId w:val="1"/>
        </w:numPr>
        <w:rPr>
          <w:rFonts w:ascii="Tw Cen MT" w:hAnsi="Tw Cen MT" w:cs="Times New Roman"/>
          <w:sz w:val="24"/>
          <w:szCs w:val="24"/>
        </w:rPr>
      </w:pPr>
      <w:r w:rsidRPr="00F61386">
        <w:rPr>
          <w:rFonts w:ascii="Tw Cen MT" w:hAnsi="Tw Cen MT"/>
          <w:sz w:val="24"/>
          <w:szCs w:val="24"/>
        </w:rPr>
        <w:t xml:space="preserve">made any material false, fictitious, or fraudulent statements or </w:t>
      </w:r>
      <w:r w:rsidR="008209D7" w:rsidRPr="00F61386">
        <w:rPr>
          <w:rFonts w:ascii="Tw Cen MT" w:hAnsi="Tw Cen MT"/>
          <w:sz w:val="24"/>
          <w:szCs w:val="24"/>
        </w:rPr>
        <w:t xml:space="preserve">representations; and </w:t>
      </w:r>
    </w:p>
    <w:p w:rsidR="007B2B0F" w:rsidRPr="00F61386" w:rsidRDefault="007B2B0F" w:rsidP="008209D7">
      <w:pPr>
        <w:pStyle w:val="ListParagraph"/>
        <w:numPr>
          <w:ilvl w:val="4"/>
          <w:numId w:val="1"/>
        </w:numPr>
        <w:rPr>
          <w:rFonts w:ascii="Tw Cen MT" w:hAnsi="Tw Cen MT" w:cs="Times New Roman"/>
          <w:sz w:val="24"/>
          <w:szCs w:val="24"/>
        </w:rPr>
      </w:pPr>
      <w:r w:rsidRPr="00F61386">
        <w:rPr>
          <w:rFonts w:ascii="Tw Cen MT" w:hAnsi="Tw Cen MT"/>
          <w:sz w:val="24"/>
          <w:szCs w:val="24"/>
        </w:rPr>
        <w:t>provided any false writing or document knowing the writing or document contained any false, fictitious, or fra</w:t>
      </w:r>
      <w:r w:rsidR="008209D7" w:rsidRPr="00F61386">
        <w:rPr>
          <w:rFonts w:ascii="Tw Cen MT" w:hAnsi="Tw Cen MT"/>
          <w:sz w:val="24"/>
          <w:szCs w:val="24"/>
        </w:rPr>
        <w:t>udulent statements or entries. Rule 21F-6(b)(3).</w:t>
      </w:r>
    </w:p>
    <w:p w:rsidR="008209D7" w:rsidRPr="00F61386" w:rsidRDefault="008209D7" w:rsidP="008209D7">
      <w:pPr>
        <w:pStyle w:val="ListParagraph"/>
        <w:ind w:left="3600"/>
        <w:rPr>
          <w:rFonts w:ascii="Tw Cen MT" w:hAnsi="Tw Cen MT" w:cs="Times New Roman"/>
          <w:sz w:val="24"/>
          <w:szCs w:val="24"/>
        </w:rPr>
      </w:pPr>
    </w:p>
    <w:p w:rsidR="007B2B0F" w:rsidRPr="00F61386" w:rsidRDefault="007B2B0F" w:rsidP="008D2D85">
      <w:pPr>
        <w:pStyle w:val="ListParagraph"/>
        <w:numPr>
          <w:ilvl w:val="3"/>
          <w:numId w:val="1"/>
        </w:numPr>
        <w:rPr>
          <w:rFonts w:ascii="Tw Cen MT" w:hAnsi="Tw Cen MT" w:cs="Times New Roman"/>
          <w:sz w:val="24"/>
          <w:szCs w:val="24"/>
        </w:rPr>
      </w:pPr>
      <w:r w:rsidRPr="00F61386">
        <w:rPr>
          <w:rFonts w:ascii="Tw Cen MT" w:hAnsi="Tw Cen MT"/>
          <w:b/>
          <w:sz w:val="24"/>
          <w:szCs w:val="24"/>
        </w:rPr>
        <w:t>Potential Adverse Incentives</w:t>
      </w:r>
      <w:r w:rsidRPr="00F61386">
        <w:rPr>
          <w:rFonts w:ascii="Tw Cen MT" w:hAnsi="Tw Cen MT"/>
          <w:sz w:val="24"/>
          <w:szCs w:val="24"/>
        </w:rPr>
        <w:t xml:space="preserve"> </w:t>
      </w:r>
      <w:r w:rsidR="008209D7" w:rsidRPr="00F61386">
        <w:rPr>
          <w:rFonts w:ascii="Tw Cen MT" w:hAnsi="Tw Cen MT"/>
          <w:sz w:val="24"/>
          <w:szCs w:val="24"/>
        </w:rPr>
        <w:t>– T</w:t>
      </w:r>
      <w:r w:rsidRPr="00F61386">
        <w:rPr>
          <w:rFonts w:ascii="Tw Cen MT" w:hAnsi="Tw Cen MT"/>
          <w:sz w:val="24"/>
          <w:szCs w:val="24"/>
        </w:rPr>
        <w:t xml:space="preserve">he CFTC </w:t>
      </w:r>
      <w:r w:rsidR="008209D7" w:rsidRPr="00F61386">
        <w:rPr>
          <w:rFonts w:ascii="Tw Cen MT" w:hAnsi="Tw Cen MT"/>
          <w:sz w:val="24"/>
          <w:szCs w:val="24"/>
        </w:rPr>
        <w:t xml:space="preserve">only </w:t>
      </w:r>
      <w:r w:rsidRPr="00F61386">
        <w:rPr>
          <w:rFonts w:ascii="Tw Cen MT" w:hAnsi="Tw Cen MT"/>
          <w:sz w:val="24"/>
          <w:szCs w:val="24"/>
        </w:rPr>
        <w:t>will consider whether potential adverse incentives may</w:t>
      </w:r>
      <w:r w:rsidR="008209D7" w:rsidRPr="00F61386">
        <w:rPr>
          <w:rFonts w:ascii="Tw Cen MT" w:hAnsi="Tw Cen MT"/>
          <w:sz w:val="24"/>
          <w:szCs w:val="24"/>
        </w:rPr>
        <w:t xml:space="preserve"> result from oversized awards.  17 C.F.R. § 165.9(a)(5).</w:t>
      </w:r>
    </w:p>
    <w:p w:rsidR="00261608" w:rsidRPr="00F61386" w:rsidRDefault="00261608" w:rsidP="00261608">
      <w:pPr>
        <w:pStyle w:val="ListParagraph"/>
        <w:ind w:left="2880"/>
        <w:rPr>
          <w:rFonts w:ascii="Tw Cen MT" w:hAnsi="Tw Cen MT" w:cs="Times New Roman"/>
          <w:sz w:val="24"/>
          <w:szCs w:val="24"/>
        </w:rPr>
      </w:pPr>
    </w:p>
    <w:p w:rsidR="00261608" w:rsidRPr="00F61386" w:rsidRDefault="007B2B0F" w:rsidP="008D2D85">
      <w:pPr>
        <w:pStyle w:val="ListParagraph"/>
        <w:numPr>
          <w:ilvl w:val="1"/>
          <w:numId w:val="1"/>
        </w:numPr>
        <w:rPr>
          <w:rFonts w:ascii="Tw Cen MT" w:hAnsi="Tw Cen MT" w:cs="Times New Roman"/>
          <w:sz w:val="24"/>
          <w:szCs w:val="24"/>
        </w:rPr>
      </w:pPr>
      <w:r w:rsidRPr="00F61386">
        <w:rPr>
          <w:rFonts w:ascii="Tw Cen MT" w:hAnsi="Tw Cen MT"/>
          <w:b/>
          <w:sz w:val="24"/>
          <w:szCs w:val="24"/>
        </w:rPr>
        <w:t>Treatment of Culpable Individuals</w:t>
      </w:r>
      <w:r w:rsidR="00884C4D" w:rsidRPr="00F61386">
        <w:rPr>
          <w:rFonts w:ascii="Tw Cen MT" w:hAnsi="Tw Cen MT"/>
          <w:sz w:val="24"/>
          <w:szCs w:val="24"/>
        </w:rPr>
        <w:t xml:space="preserve"> –</w:t>
      </w:r>
    </w:p>
    <w:p w:rsidR="00606394" w:rsidRPr="00F61386" w:rsidRDefault="00884C4D" w:rsidP="00261608">
      <w:pPr>
        <w:pStyle w:val="ListParagraph"/>
        <w:ind w:left="1440"/>
        <w:rPr>
          <w:rFonts w:ascii="Tw Cen MT" w:hAnsi="Tw Cen MT" w:cs="Times New Roman"/>
          <w:sz w:val="24"/>
          <w:szCs w:val="24"/>
        </w:rPr>
      </w:pPr>
      <w:r w:rsidRPr="00F61386">
        <w:rPr>
          <w:rFonts w:ascii="Tw Cen MT" w:hAnsi="Tw Cen MT"/>
          <w:sz w:val="24"/>
          <w:szCs w:val="24"/>
        </w:rPr>
        <w:t xml:space="preserve"> </w:t>
      </w:r>
    </w:p>
    <w:p w:rsidR="00606394" w:rsidRPr="00F61386" w:rsidRDefault="00884C4D" w:rsidP="00606394">
      <w:pPr>
        <w:pStyle w:val="ListParagraph"/>
        <w:numPr>
          <w:ilvl w:val="2"/>
          <w:numId w:val="1"/>
        </w:numPr>
        <w:rPr>
          <w:rFonts w:ascii="Tw Cen MT" w:hAnsi="Tw Cen MT" w:cs="Times New Roman"/>
          <w:sz w:val="24"/>
          <w:szCs w:val="24"/>
        </w:rPr>
      </w:pPr>
      <w:r w:rsidRPr="00F61386">
        <w:rPr>
          <w:rFonts w:ascii="Tw Cen MT" w:hAnsi="Tw Cen MT"/>
          <w:sz w:val="24"/>
          <w:szCs w:val="24"/>
        </w:rPr>
        <w:t>No amnesty for w</w:t>
      </w:r>
      <w:r w:rsidR="007B2B0F" w:rsidRPr="00F61386">
        <w:rPr>
          <w:rFonts w:ascii="Tw Cen MT" w:hAnsi="Tw Cen MT"/>
          <w:sz w:val="24"/>
          <w:szCs w:val="24"/>
        </w:rPr>
        <w:t>histleblower</w:t>
      </w:r>
      <w:r w:rsidR="00606394" w:rsidRPr="00F61386">
        <w:rPr>
          <w:rFonts w:ascii="Tw Cen MT" w:hAnsi="Tw Cen MT"/>
          <w:sz w:val="24"/>
          <w:szCs w:val="24"/>
        </w:rPr>
        <w:t>s.</w:t>
      </w:r>
      <w:r w:rsidRPr="00F61386">
        <w:rPr>
          <w:rFonts w:ascii="Tw Cen MT" w:hAnsi="Tw Cen MT"/>
          <w:sz w:val="24"/>
          <w:szCs w:val="24"/>
        </w:rPr>
        <w:t xml:space="preserve"> </w:t>
      </w:r>
      <w:r w:rsidR="00606394" w:rsidRPr="00F61386">
        <w:rPr>
          <w:rFonts w:ascii="Tw Cen MT" w:hAnsi="Tw Cen MT"/>
          <w:sz w:val="24"/>
          <w:szCs w:val="24"/>
        </w:rPr>
        <w:t>Also, t</w:t>
      </w:r>
      <w:r w:rsidRPr="00F61386">
        <w:rPr>
          <w:rFonts w:ascii="Tw Cen MT" w:hAnsi="Tw Cen MT"/>
          <w:sz w:val="24"/>
          <w:szCs w:val="24"/>
        </w:rPr>
        <w:t xml:space="preserve">hose </w:t>
      </w:r>
      <w:r w:rsidR="007B2B0F" w:rsidRPr="00F61386">
        <w:rPr>
          <w:rFonts w:ascii="Tw Cen MT" w:hAnsi="Tw Cen MT"/>
          <w:sz w:val="24"/>
          <w:szCs w:val="24"/>
        </w:rPr>
        <w:t>who are convicted of a criminal violation that is related to the a</w:t>
      </w:r>
      <w:r w:rsidRPr="00F61386">
        <w:rPr>
          <w:rFonts w:ascii="Tw Cen MT" w:hAnsi="Tw Cen MT"/>
          <w:sz w:val="24"/>
          <w:szCs w:val="24"/>
        </w:rPr>
        <w:t xml:space="preserve">ction cannot receive an award.  Rule 21F-15; Rule 21F-8(c)(3); </w:t>
      </w:r>
      <w:r w:rsidR="00794C7D" w:rsidRPr="00F61386">
        <w:rPr>
          <w:rFonts w:ascii="Tw Cen MT" w:hAnsi="Tw Cen MT"/>
          <w:sz w:val="24"/>
          <w:szCs w:val="24"/>
        </w:rPr>
        <w:t>Section 21F</w:t>
      </w:r>
      <w:r w:rsidRPr="00F61386">
        <w:rPr>
          <w:rFonts w:ascii="Tw Cen MT" w:hAnsi="Tw Cen MT"/>
          <w:sz w:val="24"/>
          <w:szCs w:val="24"/>
        </w:rPr>
        <w:t>(c)(2)(B)</w:t>
      </w:r>
      <w:r w:rsidR="00261608" w:rsidRPr="00F61386">
        <w:rPr>
          <w:rFonts w:ascii="Tw Cen MT" w:hAnsi="Tw Cen MT"/>
          <w:sz w:val="24"/>
          <w:szCs w:val="24"/>
        </w:rPr>
        <w:t>.</w:t>
      </w:r>
      <w:r w:rsidR="007B2B0F" w:rsidRPr="00F61386">
        <w:rPr>
          <w:rFonts w:ascii="Tw Cen MT" w:hAnsi="Tw Cen MT"/>
          <w:sz w:val="24"/>
          <w:szCs w:val="24"/>
        </w:rPr>
        <w:t xml:space="preserve"> </w:t>
      </w:r>
    </w:p>
    <w:p w:rsidR="00606394" w:rsidRPr="00F61386" w:rsidRDefault="00606394" w:rsidP="00606394">
      <w:pPr>
        <w:pStyle w:val="ListParagraph"/>
        <w:numPr>
          <w:ilvl w:val="2"/>
          <w:numId w:val="1"/>
        </w:numPr>
        <w:rPr>
          <w:rFonts w:ascii="Tw Cen MT" w:hAnsi="Tw Cen MT" w:cs="Times New Roman"/>
          <w:sz w:val="24"/>
          <w:szCs w:val="24"/>
        </w:rPr>
      </w:pPr>
      <w:r w:rsidRPr="00F61386">
        <w:rPr>
          <w:rFonts w:ascii="Tw Cen MT" w:hAnsi="Tw Cen MT"/>
          <w:sz w:val="24"/>
          <w:szCs w:val="24"/>
        </w:rPr>
        <w:t>I</w:t>
      </w:r>
      <w:r w:rsidR="007B2B0F" w:rsidRPr="00F61386">
        <w:rPr>
          <w:rFonts w:ascii="Tw Cen MT" w:hAnsi="Tw Cen MT"/>
          <w:sz w:val="24"/>
          <w:szCs w:val="24"/>
        </w:rPr>
        <w:t xml:space="preserve">n </w:t>
      </w:r>
      <w:r w:rsidRPr="00F61386">
        <w:rPr>
          <w:rFonts w:ascii="Tw Cen MT" w:hAnsi="Tw Cen MT"/>
          <w:sz w:val="24"/>
          <w:szCs w:val="24"/>
        </w:rPr>
        <w:t>calculating t</w:t>
      </w:r>
      <w:r w:rsidR="007B2B0F" w:rsidRPr="00F61386">
        <w:rPr>
          <w:rFonts w:ascii="Tw Cen MT" w:hAnsi="Tw Cen MT"/>
          <w:sz w:val="24"/>
          <w:szCs w:val="24"/>
        </w:rPr>
        <w:t>he $1 million threshold</w:t>
      </w:r>
      <w:r w:rsidRPr="00F61386">
        <w:rPr>
          <w:rFonts w:ascii="Tw Cen MT" w:hAnsi="Tw Cen MT"/>
          <w:sz w:val="24"/>
          <w:szCs w:val="24"/>
        </w:rPr>
        <w:t xml:space="preserve">, the </w:t>
      </w:r>
      <w:r w:rsidR="007B2B0F" w:rsidRPr="00F61386">
        <w:rPr>
          <w:rFonts w:ascii="Tw Cen MT" w:hAnsi="Tw Cen MT"/>
          <w:sz w:val="24"/>
          <w:szCs w:val="24"/>
        </w:rPr>
        <w:t xml:space="preserve">SEC will exclude any monetary sanctions </w:t>
      </w:r>
      <w:r w:rsidRPr="00F61386">
        <w:rPr>
          <w:rFonts w:ascii="Tw Cen MT" w:hAnsi="Tw Cen MT"/>
          <w:sz w:val="24"/>
          <w:szCs w:val="24"/>
        </w:rPr>
        <w:t>the whistleblower has been</w:t>
      </w:r>
      <w:r w:rsidR="007B2B0F" w:rsidRPr="00F61386">
        <w:rPr>
          <w:rFonts w:ascii="Tw Cen MT" w:hAnsi="Tw Cen MT"/>
          <w:sz w:val="24"/>
          <w:szCs w:val="24"/>
        </w:rPr>
        <w:t xml:space="preserve"> ordered to pay</w:t>
      </w:r>
      <w:r w:rsidRPr="00F61386">
        <w:rPr>
          <w:rFonts w:ascii="Tw Cen MT" w:hAnsi="Tw Cen MT"/>
          <w:sz w:val="24"/>
          <w:szCs w:val="24"/>
        </w:rPr>
        <w:t>.  Rule 21F-16.</w:t>
      </w:r>
    </w:p>
    <w:p w:rsidR="007B2B0F" w:rsidRPr="00F61386" w:rsidRDefault="00606394" w:rsidP="00606394">
      <w:pPr>
        <w:pStyle w:val="ListParagraph"/>
        <w:numPr>
          <w:ilvl w:val="2"/>
          <w:numId w:val="1"/>
        </w:numPr>
        <w:rPr>
          <w:rFonts w:ascii="Tw Cen MT" w:hAnsi="Tw Cen MT" w:cs="Times New Roman"/>
          <w:sz w:val="24"/>
          <w:szCs w:val="24"/>
        </w:rPr>
      </w:pPr>
      <w:r w:rsidRPr="00F61386">
        <w:rPr>
          <w:rFonts w:ascii="Tw Cen MT" w:hAnsi="Tw Cen MT"/>
          <w:sz w:val="24"/>
          <w:szCs w:val="24"/>
        </w:rPr>
        <w:t xml:space="preserve">But </w:t>
      </w:r>
      <w:r w:rsidR="007B2B0F" w:rsidRPr="00F61386">
        <w:rPr>
          <w:rFonts w:ascii="Tw Cen MT" w:hAnsi="Tw Cen MT"/>
          <w:sz w:val="24"/>
          <w:szCs w:val="24"/>
        </w:rPr>
        <w:t xml:space="preserve">the </w:t>
      </w:r>
      <w:r w:rsidRPr="00F61386">
        <w:rPr>
          <w:rFonts w:ascii="Tw Cen MT" w:hAnsi="Tw Cen MT"/>
          <w:sz w:val="24"/>
          <w:szCs w:val="24"/>
        </w:rPr>
        <w:t>r</w:t>
      </w:r>
      <w:r w:rsidR="007B2B0F" w:rsidRPr="00F61386">
        <w:rPr>
          <w:rFonts w:ascii="Tw Cen MT" w:hAnsi="Tw Cen MT"/>
          <w:sz w:val="24"/>
          <w:szCs w:val="24"/>
        </w:rPr>
        <w:t>ules do not categorically exclude culpable whistleblowers from award eligibility.</w:t>
      </w:r>
      <w:r w:rsidRPr="00F61386">
        <w:rPr>
          <w:rFonts w:ascii="Tw Cen MT" w:hAnsi="Tw Cen MT"/>
          <w:sz w:val="24"/>
          <w:szCs w:val="24"/>
        </w:rPr>
        <w:t xml:space="preserve"> SEC Adopting Release, 76 Fed. Reg. at 34,350.</w:t>
      </w:r>
    </w:p>
    <w:p w:rsidR="007B2B0F" w:rsidRPr="00F61386" w:rsidRDefault="007B2B0F" w:rsidP="007B2B0F">
      <w:pPr>
        <w:pStyle w:val="ListParagraph"/>
        <w:ind w:left="1440"/>
        <w:rPr>
          <w:rFonts w:ascii="Tw Cen MT" w:hAnsi="Tw Cen MT" w:cs="Times New Roman"/>
          <w:sz w:val="24"/>
          <w:szCs w:val="24"/>
        </w:rPr>
      </w:pPr>
    </w:p>
    <w:p w:rsidR="00F2047D" w:rsidRPr="00F61386" w:rsidRDefault="007B2B0F" w:rsidP="008D2D85">
      <w:pPr>
        <w:pStyle w:val="ListParagraph"/>
        <w:numPr>
          <w:ilvl w:val="1"/>
          <w:numId w:val="1"/>
        </w:numPr>
        <w:rPr>
          <w:rFonts w:ascii="Tw Cen MT" w:hAnsi="Tw Cen MT" w:cs="Times New Roman"/>
          <w:sz w:val="24"/>
          <w:szCs w:val="24"/>
        </w:rPr>
      </w:pPr>
      <w:r w:rsidRPr="00F61386">
        <w:rPr>
          <w:rFonts w:ascii="Tw Cen MT" w:hAnsi="Tw Cen MT"/>
          <w:b/>
          <w:sz w:val="24"/>
          <w:szCs w:val="24"/>
        </w:rPr>
        <w:t>Whistleblower Confidentiality</w:t>
      </w:r>
      <w:r w:rsidR="00A36488" w:rsidRPr="00F61386">
        <w:rPr>
          <w:rFonts w:ascii="Tw Cen MT" w:hAnsi="Tw Cen MT"/>
          <w:sz w:val="24"/>
          <w:szCs w:val="24"/>
        </w:rPr>
        <w:t xml:space="preserve"> </w:t>
      </w:r>
      <w:r w:rsidR="006B0C0C" w:rsidRPr="00F61386">
        <w:rPr>
          <w:rFonts w:ascii="Tw Cen MT" w:hAnsi="Tw Cen MT"/>
          <w:sz w:val="24"/>
          <w:szCs w:val="24"/>
        </w:rPr>
        <w:t>–</w:t>
      </w:r>
      <w:r w:rsidRPr="00F61386">
        <w:rPr>
          <w:rFonts w:ascii="Tw Cen MT" w:hAnsi="Tw Cen MT"/>
          <w:sz w:val="24"/>
          <w:szCs w:val="24"/>
        </w:rPr>
        <w:t xml:space="preserve"> The </w:t>
      </w:r>
      <w:r w:rsidR="006B0C0C" w:rsidRPr="00F61386">
        <w:rPr>
          <w:rFonts w:ascii="Tw Cen MT" w:hAnsi="Tw Cen MT"/>
          <w:sz w:val="24"/>
          <w:szCs w:val="24"/>
        </w:rPr>
        <w:t>r</w:t>
      </w:r>
      <w:r w:rsidRPr="00F61386">
        <w:rPr>
          <w:rFonts w:ascii="Tw Cen MT" w:hAnsi="Tw Cen MT"/>
          <w:sz w:val="24"/>
          <w:szCs w:val="24"/>
        </w:rPr>
        <w:t xml:space="preserve">ules </w:t>
      </w:r>
      <w:r w:rsidR="006B0C0C" w:rsidRPr="00F61386">
        <w:rPr>
          <w:rFonts w:ascii="Tw Cen MT" w:hAnsi="Tw Cen MT"/>
          <w:sz w:val="24"/>
          <w:szCs w:val="24"/>
        </w:rPr>
        <w:t>allow anonymous reporting as long as the</w:t>
      </w:r>
      <w:r w:rsidRPr="00F61386">
        <w:rPr>
          <w:rFonts w:ascii="Tw Cen MT" w:hAnsi="Tw Cen MT"/>
          <w:sz w:val="24"/>
          <w:szCs w:val="24"/>
        </w:rPr>
        <w:t xml:space="preserve"> whistleblower</w:t>
      </w:r>
      <w:r w:rsidR="006B0C0C" w:rsidRPr="00F61386">
        <w:rPr>
          <w:rFonts w:ascii="Tw Cen MT" w:hAnsi="Tw Cen MT"/>
          <w:sz w:val="24"/>
          <w:szCs w:val="24"/>
        </w:rPr>
        <w:t xml:space="preserve"> is </w:t>
      </w:r>
      <w:r w:rsidRPr="00F61386">
        <w:rPr>
          <w:rFonts w:ascii="Tw Cen MT" w:hAnsi="Tw Cen MT"/>
          <w:sz w:val="24"/>
          <w:szCs w:val="24"/>
        </w:rPr>
        <w:t>represented by an attorney.</w:t>
      </w:r>
      <w:r w:rsidR="00F2047D" w:rsidRPr="00F61386">
        <w:rPr>
          <w:rFonts w:ascii="Tw Cen MT" w:hAnsi="Tw Cen MT"/>
          <w:sz w:val="24"/>
          <w:szCs w:val="24"/>
        </w:rPr>
        <w:t xml:space="preserve"> </w:t>
      </w:r>
      <w:r w:rsidR="00557B88" w:rsidRPr="00F61386">
        <w:rPr>
          <w:rFonts w:ascii="Tw Cen MT" w:hAnsi="Tw Cen MT"/>
          <w:sz w:val="24"/>
          <w:szCs w:val="24"/>
        </w:rPr>
        <w:t xml:space="preserve">Rule </w:t>
      </w:r>
      <w:r w:rsidR="00F2047D" w:rsidRPr="00F61386">
        <w:rPr>
          <w:rFonts w:ascii="Tw Cen MT" w:hAnsi="Tw Cen MT"/>
          <w:sz w:val="24"/>
          <w:szCs w:val="24"/>
        </w:rPr>
        <w:t xml:space="preserve">21F-7(b); </w:t>
      </w:r>
      <w:r w:rsidR="00794C7D" w:rsidRPr="00F61386">
        <w:rPr>
          <w:rFonts w:ascii="Tw Cen MT" w:hAnsi="Tw Cen MT"/>
          <w:sz w:val="24"/>
          <w:szCs w:val="24"/>
        </w:rPr>
        <w:t>Section 21F</w:t>
      </w:r>
      <w:r w:rsidR="00F2047D" w:rsidRPr="00F61386">
        <w:rPr>
          <w:rFonts w:ascii="Tw Cen MT" w:hAnsi="Tw Cen MT"/>
          <w:sz w:val="24"/>
          <w:szCs w:val="24"/>
        </w:rPr>
        <w:t>(d)(2)(A).</w:t>
      </w:r>
    </w:p>
    <w:p w:rsidR="007B2B0F" w:rsidRPr="00F61386" w:rsidRDefault="00F2047D" w:rsidP="00F2047D">
      <w:pPr>
        <w:pStyle w:val="ListParagraph"/>
        <w:numPr>
          <w:ilvl w:val="2"/>
          <w:numId w:val="1"/>
        </w:numPr>
        <w:rPr>
          <w:rFonts w:ascii="Tw Cen MT" w:hAnsi="Tw Cen MT" w:cs="Times New Roman"/>
          <w:sz w:val="24"/>
          <w:szCs w:val="24"/>
        </w:rPr>
      </w:pPr>
      <w:r w:rsidRPr="00F61386">
        <w:rPr>
          <w:rFonts w:ascii="Tw Cen MT" w:hAnsi="Tw Cen MT"/>
          <w:sz w:val="24"/>
          <w:szCs w:val="24"/>
        </w:rPr>
        <w:t>T</w:t>
      </w:r>
      <w:r w:rsidR="007B2B0F" w:rsidRPr="00F61386">
        <w:rPr>
          <w:rFonts w:ascii="Tw Cen MT" w:hAnsi="Tw Cen MT"/>
          <w:sz w:val="24"/>
          <w:szCs w:val="24"/>
        </w:rPr>
        <w:t xml:space="preserve">he </w:t>
      </w:r>
      <w:r w:rsidRPr="00F61386">
        <w:rPr>
          <w:rFonts w:ascii="Tw Cen MT" w:hAnsi="Tw Cen MT"/>
          <w:sz w:val="24"/>
          <w:szCs w:val="24"/>
        </w:rPr>
        <w:t xml:space="preserve">SEC has said it </w:t>
      </w:r>
      <w:r w:rsidR="007B2B0F" w:rsidRPr="00F61386">
        <w:rPr>
          <w:rFonts w:ascii="Tw Cen MT" w:hAnsi="Tw Cen MT"/>
          <w:sz w:val="24"/>
          <w:szCs w:val="24"/>
        </w:rPr>
        <w:t>will not disclose information that could reasonably be expected to reveal the identity of the whistleblo</w:t>
      </w:r>
      <w:r w:rsidR="00D06F96" w:rsidRPr="00F61386">
        <w:rPr>
          <w:rFonts w:ascii="Tw Cen MT" w:hAnsi="Tw Cen MT"/>
          <w:sz w:val="24"/>
          <w:szCs w:val="24"/>
        </w:rPr>
        <w:t>we</w:t>
      </w:r>
      <w:r w:rsidR="007B2B0F" w:rsidRPr="00F61386">
        <w:rPr>
          <w:rFonts w:ascii="Tw Cen MT" w:hAnsi="Tw Cen MT"/>
          <w:sz w:val="24"/>
          <w:szCs w:val="24"/>
        </w:rPr>
        <w:t>r, except under certain circumstances</w:t>
      </w:r>
      <w:r w:rsidRPr="00F61386">
        <w:rPr>
          <w:rFonts w:ascii="Tw Cen MT" w:hAnsi="Tw Cen MT"/>
          <w:sz w:val="24"/>
          <w:szCs w:val="24"/>
        </w:rPr>
        <w:t xml:space="preserve">.  </w:t>
      </w:r>
      <w:r w:rsidR="00557B88" w:rsidRPr="00F61386">
        <w:rPr>
          <w:rFonts w:ascii="Tw Cen MT" w:hAnsi="Tw Cen MT"/>
          <w:sz w:val="24"/>
          <w:szCs w:val="24"/>
        </w:rPr>
        <w:t xml:space="preserve">Rule </w:t>
      </w:r>
      <w:r w:rsidRPr="00F61386">
        <w:rPr>
          <w:rFonts w:ascii="Tw Cen MT" w:hAnsi="Tw Cen MT"/>
          <w:sz w:val="24"/>
          <w:szCs w:val="24"/>
        </w:rPr>
        <w:t xml:space="preserve">21F-7; </w:t>
      </w:r>
      <w:r w:rsidR="00794C7D" w:rsidRPr="00F61386">
        <w:rPr>
          <w:rFonts w:ascii="Tw Cen MT" w:hAnsi="Tw Cen MT"/>
          <w:sz w:val="24"/>
          <w:szCs w:val="24"/>
        </w:rPr>
        <w:t>Section 21F</w:t>
      </w:r>
      <w:r w:rsidRPr="00F61386">
        <w:rPr>
          <w:rFonts w:ascii="Tw Cen MT" w:hAnsi="Tw Cen MT"/>
          <w:sz w:val="24"/>
          <w:szCs w:val="24"/>
        </w:rPr>
        <w:t>(h)(2).</w:t>
      </w:r>
    </w:p>
    <w:p w:rsidR="006B3FA1" w:rsidRPr="00F61386" w:rsidRDefault="006B3FA1" w:rsidP="006B3FA1">
      <w:pPr>
        <w:pStyle w:val="ListParagraph"/>
        <w:rPr>
          <w:rFonts w:ascii="Tw Cen MT" w:hAnsi="Tw Cen MT" w:cs="Times New Roman"/>
          <w:sz w:val="24"/>
          <w:szCs w:val="24"/>
        </w:rPr>
      </w:pPr>
    </w:p>
    <w:p w:rsidR="006B3FA1" w:rsidRPr="00F61386" w:rsidRDefault="006B3FA1" w:rsidP="008D2D85">
      <w:pPr>
        <w:pStyle w:val="ListParagraph"/>
        <w:numPr>
          <w:ilvl w:val="0"/>
          <w:numId w:val="1"/>
        </w:numPr>
        <w:rPr>
          <w:rFonts w:ascii="Tw Cen MT" w:hAnsi="Tw Cen MT" w:cs="Times New Roman"/>
          <w:sz w:val="24"/>
          <w:szCs w:val="24"/>
        </w:rPr>
      </w:pPr>
      <w:r w:rsidRPr="00F61386">
        <w:rPr>
          <w:rFonts w:ascii="Tw Cen MT" w:hAnsi="Tw Cen MT" w:cs="Times New Roman"/>
          <w:b/>
          <w:sz w:val="24"/>
          <w:szCs w:val="24"/>
        </w:rPr>
        <w:t>The Anti-Retaliation Provisions</w:t>
      </w:r>
    </w:p>
    <w:p w:rsidR="00297C27" w:rsidRPr="00F61386" w:rsidRDefault="00297C27" w:rsidP="00297C27">
      <w:pPr>
        <w:pStyle w:val="ListParagraph"/>
        <w:ind w:left="2160"/>
        <w:rPr>
          <w:rFonts w:ascii="Tw Cen MT" w:hAnsi="Tw Cen MT" w:cs="Times New Roman"/>
          <w:sz w:val="24"/>
          <w:szCs w:val="24"/>
        </w:rPr>
      </w:pPr>
    </w:p>
    <w:p w:rsidR="00297C27" w:rsidRPr="00F61386" w:rsidRDefault="00297C27" w:rsidP="00297C27">
      <w:pPr>
        <w:pStyle w:val="ListParagraph"/>
        <w:numPr>
          <w:ilvl w:val="1"/>
          <w:numId w:val="1"/>
        </w:numPr>
        <w:rPr>
          <w:rFonts w:ascii="Tw Cen MT" w:hAnsi="Tw Cen MT" w:cs="Times New Roman"/>
          <w:sz w:val="24"/>
          <w:szCs w:val="24"/>
        </w:rPr>
      </w:pPr>
      <w:r w:rsidRPr="00F61386">
        <w:rPr>
          <w:rFonts w:ascii="Tw Cen MT" w:hAnsi="Tw Cen MT"/>
          <w:sz w:val="24"/>
          <w:szCs w:val="24"/>
        </w:rPr>
        <w:t>New</w:t>
      </w:r>
      <w:r w:rsidR="006B3FA1" w:rsidRPr="00F61386">
        <w:rPr>
          <w:rFonts w:ascii="Tw Cen MT" w:hAnsi="Tw Cen MT"/>
          <w:sz w:val="24"/>
          <w:szCs w:val="24"/>
        </w:rPr>
        <w:t xml:space="preserve"> cause of action for whistleblowers. </w:t>
      </w:r>
      <w:r w:rsidRPr="00F61386">
        <w:rPr>
          <w:rFonts w:ascii="Tw Cen MT" w:hAnsi="Tw Cen MT"/>
          <w:sz w:val="24"/>
          <w:szCs w:val="24"/>
        </w:rPr>
        <w:t xml:space="preserve"> N</w:t>
      </w:r>
      <w:r w:rsidR="006B3FA1" w:rsidRPr="00F61386">
        <w:rPr>
          <w:rFonts w:ascii="Tw Cen MT" w:hAnsi="Tw Cen MT"/>
          <w:sz w:val="24"/>
          <w:szCs w:val="24"/>
        </w:rPr>
        <w:t>o employer may discharge, demote, suspend, threaten, harass, directly or indirectly, or in any other manner discriminate against, a whistleblower in the terms and conditions of employment because of any lawful act underta</w:t>
      </w:r>
      <w:r w:rsidRPr="00F61386">
        <w:rPr>
          <w:rFonts w:ascii="Tw Cen MT" w:hAnsi="Tw Cen MT"/>
          <w:sz w:val="24"/>
          <w:szCs w:val="24"/>
        </w:rPr>
        <w:t>ken by the whistleblower in</w:t>
      </w:r>
      <w:r w:rsidR="00754C75" w:rsidRPr="00F61386">
        <w:rPr>
          <w:rFonts w:ascii="Tw Cen MT" w:hAnsi="Tw Cen MT"/>
          <w:sz w:val="24"/>
          <w:szCs w:val="24"/>
        </w:rPr>
        <w:t>:</w:t>
      </w:r>
    </w:p>
    <w:p w:rsidR="00297C27" w:rsidRPr="00F61386" w:rsidRDefault="006B3FA1" w:rsidP="00297C27">
      <w:pPr>
        <w:pStyle w:val="ListParagraph"/>
        <w:numPr>
          <w:ilvl w:val="2"/>
          <w:numId w:val="1"/>
        </w:numPr>
        <w:rPr>
          <w:rFonts w:ascii="Tw Cen MT" w:hAnsi="Tw Cen MT" w:cs="Times New Roman"/>
          <w:sz w:val="24"/>
          <w:szCs w:val="24"/>
        </w:rPr>
      </w:pPr>
      <w:r w:rsidRPr="00F61386">
        <w:rPr>
          <w:rFonts w:ascii="Tw Cen MT" w:hAnsi="Tw Cen MT"/>
          <w:sz w:val="24"/>
          <w:szCs w:val="24"/>
        </w:rPr>
        <w:t xml:space="preserve">providing information to the </w:t>
      </w:r>
      <w:r w:rsidR="00754C75" w:rsidRPr="00F61386">
        <w:rPr>
          <w:rFonts w:ascii="Tw Cen MT" w:hAnsi="Tw Cen MT"/>
          <w:sz w:val="24"/>
          <w:szCs w:val="24"/>
        </w:rPr>
        <w:t>SEC</w:t>
      </w:r>
      <w:r w:rsidRPr="00F61386">
        <w:rPr>
          <w:rFonts w:ascii="Tw Cen MT" w:hAnsi="Tw Cen MT"/>
          <w:sz w:val="24"/>
          <w:szCs w:val="24"/>
        </w:rPr>
        <w:t xml:space="preserve"> in accordance wit</w:t>
      </w:r>
      <w:r w:rsidR="00297C27" w:rsidRPr="00F61386">
        <w:rPr>
          <w:rFonts w:ascii="Tw Cen MT" w:hAnsi="Tw Cen MT"/>
          <w:sz w:val="24"/>
          <w:szCs w:val="24"/>
        </w:rPr>
        <w:t xml:space="preserve">h the </w:t>
      </w:r>
      <w:r w:rsidR="00754C75" w:rsidRPr="00F61386">
        <w:rPr>
          <w:rFonts w:ascii="Tw Cen MT" w:hAnsi="Tw Cen MT"/>
          <w:sz w:val="24"/>
          <w:szCs w:val="24"/>
        </w:rPr>
        <w:t>r</w:t>
      </w:r>
      <w:r w:rsidR="00297C27" w:rsidRPr="00F61386">
        <w:rPr>
          <w:rFonts w:ascii="Tw Cen MT" w:hAnsi="Tw Cen MT"/>
          <w:sz w:val="24"/>
          <w:szCs w:val="24"/>
        </w:rPr>
        <w:t xml:space="preserve">ules; </w:t>
      </w:r>
    </w:p>
    <w:p w:rsidR="00297C27" w:rsidRPr="00F61386" w:rsidRDefault="006B3FA1" w:rsidP="00297C27">
      <w:pPr>
        <w:pStyle w:val="ListParagraph"/>
        <w:numPr>
          <w:ilvl w:val="2"/>
          <w:numId w:val="1"/>
        </w:numPr>
        <w:rPr>
          <w:rFonts w:ascii="Tw Cen MT" w:hAnsi="Tw Cen MT" w:cs="Times New Roman"/>
          <w:sz w:val="24"/>
          <w:szCs w:val="24"/>
        </w:rPr>
      </w:pPr>
      <w:r w:rsidRPr="00F61386">
        <w:rPr>
          <w:rFonts w:ascii="Tw Cen MT" w:hAnsi="Tw Cen MT"/>
          <w:sz w:val="24"/>
          <w:szCs w:val="24"/>
        </w:rPr>
        <w:t>assisting in any investigation or judicial or administrative action of the Commission based upon or relate</w:t>
      </w:r>
      <w:r w:rsidR="00297C27" w:rsidRPr="00F61386">
        <w:rPr>
          <w:rFonts w:ascii="Tw Cen MT" w:hAnsi="Tw Cen MT"/>
          <w:sz w:val="24"/>
          <w:szCs w:val="24"/>
        </w:rPr>
        <w:t xml:space="preserve">d to such information; or </w:t>
      </w:r>
    </w:p>
    <w:p w:rsidR="00CD224B" w:rsidRPr="00F61386" w:rsidRDefault="006B3FA1" w:rsidP="00297C27">
      <w:pPr>
        <w:pStyle w:val="ListParagraph"/>
        <w:numPr>
          <w:ilvl w:val="2"/>
          <w:numId w:val="1"/>
        </w:numPr>
        <w:rPr>
          <w:rFonts w:ascii="Tw Cen MT" w:hAnsi="Tw Cen MT" w:cs="Times New Roman"/>
          <w:sz w:val="24"/>
          <w:szCs w:val="24"/>
        </w:rPr>
      </w:pPr>
      <w:r w:rsidRPr="00F61386">
        <w:rPr>
          <w:rFonts w:ascii="Tw Cen MT" w:hAnsi="Tw Cen MT"/>
          <w:sz w:val="24"/>
          <w:szCs w:val="24"/>
        </w:rPr>
        <w:t xml:space="preserve">making disclosures that are protected under the </w:t>
      </w:r>
      <w:r w:rsidR="00754C75" w:rsidRPr="00F61386">
        <w:rPr>
          <w:rFonts w:ascii="Tw Cen MT" w:hAnsi="Tw Cen MT"/>
          <w:sz w:val="24"/>
          <w:szCs w:val="24"/>
        </w:rPr>
        <w:t>r</w:t>
      </w:r>
      <w:r w:rsidRPr="00F61386">
        <w:rPr>
          <w:rFonts w:ascii="Tw Cen MT" w:hAnsi="Tw Cen MT"/>
          <w:sz w:val="24"/>
          <w:szCs w:val="24"/>
        </w:rPr>
        <w:t>ules, SOX, or any other law, rule, or regulation subject to the j</w:t>
      </w:r>
      <w:r w:rsidR="00297C27" w:rsidRPr="00F61386">
        <w:rPr>
          <w:rFonts w:ascii="Tw Cen MT" w:hAnsi="Tw Cen MT"/>
          <w:sz w:val="24"/>
          <w:szCs w:val="24"/>
        </w:rPr>
        <w:t xml:space="preserve">urisdiction of the Commission.  </w:t>
      </w:r>
      <w:r w:rsidR="00794C7D" w:rsidRPr="00F61386">
        <w:rPr>
          <w:rFonts w:ascii="Tw Cen MT" w:hAnsi="Tw Cen MT"/>
          <w:sz w:val="24"/>
          <w:szCs w:val="24"/>
        </w:rPr>
        <w:t>Section 21F</w:t>
      </w:r>
      <w:r w:rsidR="00261608" w:rsidRPr="00F61386">
        <w:rPr>
          <w:rFonts w:ascii="Tw Cen MT" w:hAnsi="Tw Cen MT"/>
          <w:sz w:val="24"/>
          <w:szCs w:val="24"/>
        </w:rPr>
        <w:t>(h)(1);</w:t>
      </w:r>
      <w:r w:rsidR="00297C27" w:rsidRPr="00F61386">
        <w:rPr>
          <w:rFonts w:ascii="Tw Cen MT" w:hAnsi="Tw Cen MT"/>
          <w:sz w:val="24"/>
          <w:szCs w:val="24"/>
        </w:rPr>
        <w:t xml:space="preserve"> Rule 21F-2(b)(1); </w:t>
      </w:r>
      <w:r w:rsidR="00297C27" w:rsidRPr="00F61386">
        <w:rPr>
          <w:rFonts w:ascii="Tw Cen MT" w:hAnsi="Tw Cen MT"/>
          <w:i/>
          <w:sz w:val="24"/>
          <w:szCs w:val="24"/>
        </w:rPr>
        <w:t>see also</w:t>
      </w:r>
      <w:r w:rsidR="00297C27" w:rsidRPr="00F61386">
        <w:rPr>
          <w:rFonts w:ascii="Tw Cen MT" w:hAnsi="Tw Cen MT"/>
          <w:sz w:val="24"/>
          <w:szCs w:val="24"/>
        </w:rPr>
        <w:t xml:space="preserve"> </w:t>
      </w:r>
      <w:r w:rsidR="00794C7D" w:rsidRPr="00F61386">
        <w:rPr>
          <w:rFonts w:ascii="Tw Cen MT" w:hAnsi="Tw Cen MT"/>
          <w:sz w:val="24"/>
          <w:szCs w:val="24"/>
        </w:rPr>
        <w:t>Section 21F</w:t>
      </w:r>
      <w:r w:rsidR="00297C27" w:rsidRPr="00F61386">
        <w:rPr>
          <w:rFonts w:ascii="Tw Cen MT" w:hAnsi="Tw Cen MT"/>
          <w:sz w:val="24"/>
          <w:szCs w:val="24"/>
        </w:rPr>
        <w:t>(a)(6).</w:t>
      </w:r>
    </w:p>
    <w:p w:rsidR="00297C27" w:rsidRPr="00F61386" w:rsidRDefault="00297C27" w:rsidP="00CD224B">
      <w:pPr>
        <w:pStyle w:val="ListParagraph"/>
        <w:ind w:left="2160"/>
        <w:rPr>
          <w:rFonts w:ascii="Tw Cen MT" w:hAnsi="Tw Cen MT"/>
          <w:sz w:val="24"/>
          <w:szCs w:val="24"/>
        </w:rPr>
      </w:pPr>
    </w:p>
    <w:p w:rsidR="00261608" w:rsidRPr="00F61386" w:rsidRDefault="00261608" w:rsidP="00261608">
      <w:pPr>
        <w:pStyle w:val="ListParagraph"/>
        <w:numPr>
          <w:ilvl w:val="1"/>
          <w:numId w:val="1"/>
        </w:numPr>
        <w:rPr>
          <w:rFonts w:ascii="Tw Cen MT" w:hAnsi="Tw Cen MT" w:cs="Times New Roman"/>
          <w:sz w:val="24"/>
          <w:szCs w:val="24"/>
        </w:rPr>
      </w:pPr>
      <w:r w:rsidRPr="00F61386">
        <w:rPr>
          <w:rFonts w:ascii="Tw Cen MT" w:hAnsi="Tw Cen MT"/>
          <w:sz w:val="24"/>
          <w:szCs w:val="24"/>
        </w:rPr>
        <w:lastRenderedPageBreak/>
        <w:t xml:space="preserve">Dodd-Frank </w:t>
      </w:r>
      <w:r w:rsidR="00A36488" w:rsidRPr="00F61386">
        <w:rPr>
          <w:rFonts w:ascii="Tw Cen MT" w:hAnsi="Tw Cen MT"/>
          <w:sz w:val="24"/>
          <w:szCs w:val="24"/>
        </w:rPr>
        <w:t xml:space="preserve">also </w:t>
      </w:r>
      <w:r w:rsidRPr="00F61386">
        <w:rPr>
          <w:rFonts w:ascii="Tw Cen MT" w:hAnsi="Tw Cen MT"/>
          <w:sz w:val="24"/>
          <w:szCs w:val="24"/>
        </w:rPr>
        <w:t xml:space="preserve">significantly increased the employment rights of purported whistleblowers beyond those adopted in the Sarbanes-Oxley Act of 2002 (SOX). 18 U.S.C. § 1514A. </w:t>
      </w:r>
    </w:p>
    <w:p w:rsidR="00261608" w:rsidRPr="00F61386" w:rsidRDefault="00261608" w:rsidP="00261608">
      <w:pPr>
        <w:pStyle w:val="ListParagraph"/>
        <w:numPr>
          <w:ilvl w:val="2"/>
          <w:numId w:val="1"/>
        </w:numPr>
        <w:rPr>
          <w:rFonts w:ascii="Tw Cen MT" w:hAnsi="Tw Cen MT" w:cs="Times New Roman"/>
          <w:sz w:val="24"/>
          <w:szCs w:val="24"/>
        </w:rPr>
      </w:pPr>
      <w:r w:rsidRPr="00F61386">
        <w:rPr>
          <w:rFonts w:ascii="Tw Cen MT" w:hAnsi="Tw Cen MT"/>
          <w:sz w:val="24"/>
          <w:szCs w:val="24"/>
        </w:rPr>
        <w:t>Extends the deadline to file a charge with the Department of Labor from 90 to 180 days and provides that parties to a SOX retaliation claim have a right to trial by jury.  18 U.S.C. § 1514A(b)</w:t>
      </w:r>
      <w:r w:rsidR="00C631FF" w:rsidRPr="00F61386">
        <w:rPr>
          <w:rFonts w:ascii="Tw Cen MT" w:hAnsi="Tw Cen MT"/>
          <w:sz w:val="24"/>
          <w:szCs w:val="24"/>
        </w:rPr>
        <w:t>.</w:t>
      </w:r>
    </w:p>
    <w:p w:rsidR="00261608" w:rsidRPr="00F61386" w:rsidRDefault="00261608" w:rsidP="00261608">
      <w:pPr>
        <w:pStyle w:val="ListParagraph"/>
        <w:numPr>
          <w:ilvl w:val="2"/>
          <w:numId w:val="1"/>
        </w:numPr>
        <w:rPr>
          <w:rFonts w:ascii="Tw Cen MT" w:hAnsi="Tw Cen MT" w:cs="Times New Roman"/>
          <w:sz w:val="24"/>
          <w:szCs w:val="24"/>
        </w:rPr>
      </w:pPr>
      <w:r w:rsidRPr="00F61386">
        <w:rPr>
          <w:rFonts w:ascii="Tw Cen MT" w:hAnsi="Tw Cen MT"/>
          <w:sz w:val="24"/>
          <w:szCs w:val="24"/>
        </w:rPr>
        <w:t>It also extends whistleblower protection to employees of affiliates and subsidiaries of pu</w:t>
      </w:r>
      <w:r w:rsidR="00442F64" w:rsidRPr="00F61386">
        <w:rPr>
          <w:rFonts w:ascii="Tw Cen MT" w:hAnsi="Tw Cen MT"/>
          <w:sz w:val="24"/>
          <w:szCs w:val="24"/>
        </w:rPr>
        <w:t>blicly traded companies</w:t>
      </w:r>
      <w:r w:rsidRPr="00F61386">
        <w:rPr>
          <w:rFonts w:ascii="Tw Cen MT" w:hAnsi="Tw Cen MT"/>
          <w:sz w:val="24"/>
          <w:szCs w:val="24"/>
        </w:rPr>
        <w:t xml:space="preserve">. 18 U.S.C. § 1514A(a). </w:t>
      </w:r>
    </w:p>
    <w:p w:rsidR="00261608" w:rsidRPr="00F61386" w:rsidRDefault="00261608" w:rsidP="00CD224B">
      <w:pPr>
        <w:pStyle w:val="ListParagraph"/>
        <w:ind w:left="2160"/>
        <w:rPr>
          <w:rFonts w:ascii="Tw Cen MT" w:hAnsi="Tw Cen MT" w:cs="Times New Roman"/>
          <w:sz w:val="24"/>
          <w:szCs w:val="24"/>
        </w:rPr>
      </w:pPr>
    </w:p>
    <w:p w:rsidR="00297C27" w:rsidRPr="00F61386" w:rsidRDefault="006B3FA1" w:rsidP="00297C27">
      <w:pPr>
        <w:pStyle w:val="ListParagraph"/>
        <w:numPr>
          <w:ilvl w:val="1"/>
          <w:numId w:val="1"/>
        </w:numPr>
        <w:rPr>
          <w:rFonts w:ascii="Tw Cen MT" w:hAnsi="Tw Cen MT" w:cs="Times New Roman"/>
          <w:sz w:val="24"/>
          <w:szCs w:val="24"/>
        </w:rPr>
      </w:pPr>
      <w:r w:rsidRPr="00F61386">
        <w:rPr>
          <w:rFonts w:ascii="Tw Cen MT" w:hAnsi="Tw Cen MT"/>
          <w:sz w:val="24"/>
          <w:szCs w:val="24"/>
        </w:rPr>
        <w:t xml:space="preserve">The anti-retaliation protections apply </w:t>
      </w:r>
      <w:r w:rsidR="008B5E08" w:rsidRPr="00F61386">
        <w:rPr>
          <w:rFonts w:ascii="Tw Cen MT" w:hAnsi="Tw Cen MT"/>
          <w:sz w:val="24"/>
          <w:szCs w:val="24"/>
        </w:rPr>
        <w:t>even if</w:t>
      </w:r>
      <w:r w:rsidRPr="00F61386">
        <w:rPr>
          <w:rFonts w:ascii="Tw Cen MT" w:hAnsi="Tw Cen MT"/>
          <w:sz w:val="24"/>
          <w:szCs w:val="24"/>
        </w:rPr>
        <w:t xml:space="preserve"> the whistleblower is </w:t>
      </w:r>
      <w:r w:rsidR="008B5E08" w:rsidRPr="00F61386">
        <w:rPr>
          <w:rFonts w:ascii="Tw Cen MT" w:hAnsi="Tw Cen MT"/>
          <w:sz w:val="24"/>
          <w:szCs w:val="24"/>
        </w:rPr>
        <w:t>not ultimat</w:t>
      </w:r>
      <w:r w:rsidR="00297C27" w:rsidRPr="00F61386">
        <w:rPr>
          <w:rFonts w:ascii="Tw Cen MT" w:hAnsi="Tw Cen MT"/>
          <w:sz w:val="24"/>
          <w:szCs w:val="24"/>
        </w:rPr>
        <w:t>ely entitled to an award.  Rule 21F-(b)(1)(iii).</w:t>
      </w:r>
      <w:r w:rsidRPr="00F61386">
        <w:rPr>
          <w:rFonts w:ascii="Tw Cen MT" w:hAnsi="Tw Cen MT"/>
          <w:sz w:val="24"/>
          <w:szCs w:val="24"/>
        </w:rPr>
        <w:t xml:space="preserve"> </w:t>
      </w:r>
    </w:p>
    <w:p w:rsidR="006B3FA1" w:rsidRPr="00F61386" w:rsidRDefault="008B5E08" w:rsidP="00297C27">
      <w:pPr>
        <w:pStyle w:val="ListParagraph"/>
        <w:numPr>
          <w:ilvl w:val="2"/>
          <w:numId w:val="1"/>
        </w:numPr>
        <w:rPr>
          <w:rFonts w:ascii="Tw Cen MT" w:hAnsi="Tw Cen MT" w:cs="Times New Roman"/>
          <w:sz w:val="24"/>
          <w:szCs w:val="24"/>
        </w:rPr>
      </w:pPr>
      <w:r w:rsidRPr="00F61386">
        <w:rPr>
          <w:rFonts w:ascii="Tw Cen MT" w:hAnsi="Tw Cen MT"/>
          <w:sz w:val="24"/>
          <w:szCs w:val="24"/>
        </w:rPr>
        <w:t xml:space="preserve">The whistleblower must have a </w:t>
      </w:r>
      <w:r w:rsidR="006B3FA1" w:rsidRPr="00F61386">
        <w:rPr>
          <w:rFonts w:ascii="Tw Cen MT" w:hAnsi="Tw Cen MT"/>
          <w:sz w:val="24"/>
          <w:szCs w:val="24"/>
        </w:rPr>
        <w:t>‘reasonable belief’ that the information demonstrates a possible violation</w:t>
      </w:r>
      <w:r w:rsidRPr="00F61386">
        <w:rPr>
          <w:rFonts w:ascii="Tw Cen MT" w:hAnsi="Tw Cen MT"/>
          <w:sz w:val="24"/>
          <w:szCs w:val="24"/>
        </w:rPr>
        <w:t>.</w:t>
      </w:r>
      <w:r w:rsidR="006B3FA1" w:rsidRPr="00F61386">
        <w:rPr>
          <w:rFonts w:ascii="Tw Cen MT" w:hAnsi="Tw Cen MT"/>
          <w:sz w:val="24"/>
          <w:szCs w:val="24"/>
        </w:rPr>
        <w:t xml:space="preserve"> </w:t>
      </w:r>
      <w:r w:rsidR="00297C27" w:rsidRPr="00F61386">
        <w:rPr>
          <w:rFonts w:ascii="Tw Cen MT" w:hAnsi="Tw Cen MT"/>
          <w:sz w:val="24"/>
          <w:szCs w:val="24"/>
        </w:rPr>
        <w:t xml:space="preserve">SEC Adopting Release, 76 Fed. Reg. at 34,303 &amp; n.33 (citing </w:t>
      </w:r>
      <w:r w:rsidR="00297C27" w:rsidRPr="00F61386">
        <w:rPr>
          <w:rFonts w:ascii="Tw Cen MT" w:hAnsi="Tw Cen MT"/>
          <w:i/>
          <w:sz w:val="24"/>
          <w:szCs w:val="24"/>
        </w:rPr>
        <w:t>Livingston v. Wyeth, Inc</w:t>
      </w:r>
      <w:r w:rsidR="00297C27" w:rsidRPr="00F61386">
        <w:rPr>
          <w:rFonts w:ascii="Tw Cen MT" w:hAnsi="Tw Cen MT"/>
          <w:sz w:val="24"/>
          <w:szCs w:val="24"/>
        </w:rPr>
        <w:t xml:space="preserve">., 520 F.3d 344, 352 (4th Cir. 2008); </w:t>
      </w:r>
      <w:r w:rsidR="00297C27" w:rsidRPr="00F61386">
        <w:rPr>
          <w:rFonts w:ascii="Tw Cen MT" w:hAnsi="Tw Cen MT"/>
          <w:i/>
          <w:sz w:val="24"/>
          <w:szCs w:val="24"/>
        </w:rPr>
        <w:t>Clover v. Total Sys. Servs., Inc.</w:t>
      </w:r>
      <w:r w:rsidR="00297C27" w:rsidRPr="00F61386">
        <w:rPr>
          <w:rFonts w:ascii="Tw Cen MT" w:hAnsi="Tw Cen MT"/>
          <w:sz w:val="24"/>
          <w:szCs w:val="24"/>
        </w:rPr>
        <w:t>, 176 F.3d 1346, 1351 (11th Cir. 1999)).</w:t>
      </w:r>
    </w:p>
    <w:p w:rsidR="00297C27" w:rsidRPr="00F61386" w:rsidRDefault="00297C27" w:rsidP="00297C27">
      <w:pPr>
        <w:pStyle w:val="ListParagraph"/>
        <w:ind w:left="2160"/>
        <w:rPr>
          <w:rFonts w:ascii="Tw Cen MT" w:hAnsi="Tw Cen MT" w:cs="Times New Roman"/>
          <w:sz w:val="24"/>
          <w:szCs w:val="24"/>
        </w:rPr>
      </w:pPr>
    </w:p>
    <w:p w:rsidR="00091346" w:rsidRPr="00F61386" w:rsidRDefault="006B3FA1" w:rsidP="00091346">
      <w:pPr>
        <w:pStyle w:val="ListParagraph"/>
        <w:numPr>
          <w:ilvl w:val="1"/>
          <w:numId w:val="1"/>
        </w:numPr>
        <w:rPr>
          <w:rFonts w:ascii="Tw Cen MT" w:hAnsi="Tw Cen MT"/>
          <w:sz w:val="24"/>
          <w:szCs w:val="24"/>
        </w:rPr>
      </w:pPr>
      <w:r w:rsidRPr="00F61386">
        <w:rPr>
          <w:rFonts w:ascii="Tw Cen MT" w:hAnsi="Tw Cen MT"/>
          <w:b/>
          <w:sz w:val="24"/>
          <w:szCs w:val="24"/>
        </w:rPr>
        <w:t xml:space="preserve">Dodd-Frank and SOX Retaliation Claims </w:t>
      </w:r>
      <w:r w:rsidR="00DD1098" w:rsidRPr="00F61386">
        <w:rPr>
          <w:rFonts w:ascii="Tw Cen MT" w:hAnsi="Tw Cen MT"/>
          <w:sz w:val="24"/>
          <w:szCs w:val="24"/>
        </w:rPr>
        <w:t xml:space="preserve">– </w:t>
      </w:r>
      <w:r w:rsidR="00091346" w:rsidRPr="00F61386">
        <w:rPr>
          <w:rFonts w:ascii="Tw Cen MT" w:hAnsi="Tw Cen MT"/>
          <w:sz w:val="24"/>
          <w:szCs w:val="24"/>
        </w:rPr>
        <w:t xml:space="preserve">So, </w:t>
      </w:r>
      <w:r w:rsidRPr="00F61386">
        <w:rPr>
          <w:rFonts w:ascii="Tw Cen MT" w:hAnsi="Tw Cen MT"/>
          <w:sz w:val="24"/>
          <w:szCs w:val="24"/>
        </w:rPr>
        <w:t xml:space="preserve">the </w:t>
      </w:r>
      <w:r w:rsidR="00091346" w:rsidRPr="00F61386">
        <w:rPr>
          <w:rFonts w:ascii="Tw Cen MT" w:hAnsi="Tw Cen MT"/>
          <w:sz w:val="24"/>
          <w:szCs w:val="24"/>
        </w:rPr>
        <w:t>new cause of action</w:t>
      </w:r>
      <w:r w:rsidRPr="00F61386">
        <w:rPr>
          <w:rFonts w:ascii="Tw Cen MT" w:hAnsi="Tw Cen MT"/>
          <w:sz w:val="24"/>
          <w:szCs w:val="24"/>
        </w:rPr>
        <w:t xml:space="preserve"> protects</w:t>
      </w:r>
      <w:r w:rsidR="00091346" w:rsidRPr="00F61386">
        <w:rPr>
          <w:rFonts w:ascii="Tw Cen MT" w:hAnsi="Tw Cen MT"/>
          <w:sz w:val="24"/>
          <w:szCs w:val="24"/>
        </w:rPr>
        <w:t xml:space="preserve"> </w:t>
      </w:r>
      <w:r w:rsidRPr="00F61386">
        <w:rPr>
          <w:rFonts w:ascii="Tw Cen MT" w:hAnsi="Tw Cen MT"/>
          <w:sz w:val="24"/>
          <w:szCs w:val="24"/>
        </w:rPr>
        <w:t>whistleblowers who make disclosures that are protected by SOX.</w:t>
      </w:r>
      <w:r w:rsidR="00091346" w:rsidRPr="00F61386">
        <w:rPr>
          <w:rFonts w:ascii="Tw Cen MT" w:hAnsi="Tw Cen MT"/>
          <w:sz w:val="24"/>
          <w:szCs w:val="24"/>
        </w:rPr>
        <w:t xml:space="preserve">  This presents an interpretive problem because SOX protects internal reporting, while </w:t>
      </w:r>
      <w:r w:rsidRPr="00F61386">
        <w:rPr>
          <w:rFonts w:ascii="Tw Cen MT" w:hAnsi="Tw Cen MT"/>
          <w:sz w:val="24"/>
          <w:szCs w:val="24"/>
        </w:rPr>
        <w:t>the definition of “whistleblower” in the Dodd-Frank Act is limited to “any individual who provides . . . information relating to a violation of the securities laws to the Commission[.]”</w:t>
      </w:r>
      <w:r w:rsidR="00091346" w:rsidRPr="00F61386">
        <w:rPr>
          <w:rFonts w:ascii="Tw Cen MT" w:hAnsi="Tw Cen MT"/>
          <w:sz w:val="24"/>
          <w:szCs w:val="24"/>
        </w:rPr>
        <w:t xml:space="preserve">  </w:t>
      </w:r>
      <w:r w:rsidR="00794C7D" w:rsidRPr="00F61386">
        <w:rPr>
          <w:rFonts w:ascii="Tw Cen MT" w:hAnsi="Tw Cen MT"/>
          <w:sz w:val="24"/>
          <w:szCs w:val="24"/>
        </w:rPr>
        <w:t>Section 21F</w:t>
      </w:r>
      <w:r w:rsidR="00091346" w:rsidRPr="00F61386">
        <w:rPr>
          <w:rFonts w:ascii="Tw Cen MT" w:hAnsi="Tw Cen MT"/>
          <w:sz w:val="24"/>
          <w:szCs w:val="24"/>
        </w:rPr>
        <w:t>(a)(6).  So do the Dodd-Frank anti-retaliation provisions kick</w:t>
      </w:r>
      <w:r w:rsidR="00A36488" w:rsidRPr="00F61386">
        <w:rPr>
          <w:rFonts w:ascii="Tw Cen MT" w:hAnsi="Tw Cen MT"/>
          <w:sz w:val="24"/>
          <w:szCs w:val="24"/>
        </w:rPr>
        <w:t xml:space="preserve"> in upon internal reporting</w:t>
      </w:r>
      <w:r w:rsidR="00091346" w:rsidRPr="00F61386">
        <w:rPr>
          <w:rFonts w:ascii="Tw Cen MT" w:hAnsi="Tw Cen MT"/>
          <w:sz w:val="24"/>
          <w:szCs w:val="24"/>
        </w:rPr>
        <w:t>?</w:t>
      </w:r>
    </w:p>
    <w:p w:rsidR="0003313E" w:rsidRPr="00F61386" w:rsidRDefault="00091346" w:rsidP="00091346">
      <w:pPr>
        <w:pStyle w:val="ListParagraph"/>
        <w:numPr>
          <w:ilvl w:val="2"/>
          <w:numId w:val="1"/>
        </w:numPr>
        <w:rPr>
          <w:rFonts w:ascii="Tw Cen MT" w:hAnsi="Tw Cen MT"/>
          <w:sz w:val="24"/>
          <w:szCs w:val="24"/>
        </w:rPr>
      </w:pPr>
      <w:r w:rsidRPr="00F61386">
        <w:rPr>
          <w:rFonts w:ascii="Tw Cen MT" w:hAnsi="Tw Cen MT"/>
          <w:sz w:val="24"/>
          <w:szCs w:val="24"/>
        </w:rPr>
        <w:t xml:space="preserve">Second Circuit says yes.  </w:t>
      </w:r>
      <w:r w:rsidR="0003313E" w:rsidRPr="00F61386">
        <w:rPr>
          <w:rFonts w:ascii="Tw Cen MT" w:hAnsi="Tw Cen MT"/>
          <w:i/>
          <w:sz w:val="24"/>
          <w:szCs w:val="24"/>
          <w:shd w:val="clear" w:color="auto" w:fill="FFFFFF"/>
        </w:rPr>
        <w:t>Berman v. Neo@Ogilvy LLC</w:t>
      </w:r>
      <w:r w:rsidR="0003313E" w:rsidRPr="00F61386">
        <w:rPr>
          <w:rFonts w:ascii="Tw Cen MT" w:hAnsi="Tw Cen MT"/>
          <w:sz w:val="24"/>
          <w:szCs w:val="24"/>
          <w:shd w:val="clear" w:color="auto" w:fill="FFFFFF"/>
        </w:rPr>
        <w:t>, 2015 U.S. App. LEXIS 16071 (2d Cir. 2015).</w:t>
      </w:r>
    </w:p>
    <w:p w:rsidR="0003313E" w:rsidRPr="00F61386" w:rsidRDefault="0003313E" w:rsidP="00091346">
      <w:pPr>
        <w:pStyle w:val="ListParagraph"/>
        <w:numPr>
          <w:ilvl w:val="2"/>
          <w:numId w:val="1"/>
        </w:numPr>
        <w:rPr>
          <w:rFonts w:ascii="Tw Cen MT" w:hAnsi="Tw Cen MT"/>
          <w:sz w:val="24"/>
          <w:szCs w:val="24"/>
        </w:rPr>
      </w:pPr>
      <w:r w:rsidRPr="00F61386">
        <w:rPr>
          <w:rFonts w:ascii="Tw Cen MT" w:hAnsi="Tw Cen MT"/>
          <w:sz w:val="24"/>
          <w:szCs w:val="24"/>
        </w:rPr>
        <w:t xml:space="preserve">Fifth Circuit says no.  </w:t>
      </w:r>
      <w:r w:rsidRPr="00F61386">
        <w:rPr>
          <w:rFonts w:ascii="Tw Cen MT" w:hAnsi="Tw Cen MT"/>
          <w:i/>
          <w:sz w:val="24"/>
          <w:szCs w:val="24"/>
        </w:rPr>
        <w:t>Asadi v. G.E. Energy (USA), LLC</w:t>
      </w:r>
      <w:r w:rsidRPr="00F61386">
        <w:rPr>
          <w:rFonts w:ascii="Tw Cen MT" w:hAnsi="Tw Cen MT"/>
          <w:sz w:val="24"/>
          <w:szCs w:val="24"/>
        </w:rPr>
        <w:t>, 720 F.3d 620 (5th Cir. 2013).</w:t>
      </w:r>
      <w:r w:rsidR="00091346" w:rsidRPr="00F61386">
        <w:rPr>
          <w:rFonts w:ascii="Tw Cen MT" w:hAnsi="Tw Cen MT"/>
          <w:sz w:val="24"/>
          <w:szCs w:val="24"/>
        </w:rPr>
        <w:t xml:space="preserve"> </w:t>
      </w:r>
      <w:r w:rsidRPr="00F61386">
        <w:rPr>
          <w:rFonts w:ascii="Tw Cen MT" w:hAnsi="Tw Cen MT"/>
          <w:sz w:val="24"/>
          <w:szCs w:val="24"/>
        </w:rPr>
        <w:t xml:space="preserve"> (Also the dissent in </w:t>
      </w:r>
      <w:r w:rsidRPr="00F61386">
        <w:rPr>
          <w:rFonts w:ascii="Tw Cen MT" w:hAnsi="Tw Cen MT"/>
          <w:i/>
          <w:sz w:val="24"/>
          <w:szCs w:val="24"/>
        </w:rPr>
        <w:t>Berman</w:t>
      </w:r>
      <w:r w:rsidRPr="00F61386">
        <w:rPr>
          <w:rFonts w:ascii="Tw Cen MT" w:hAnsi="Tw Cen MT"/>
          <w:sz w:val="24"/>
          <w:szCs w:val="24"/>
        </w:rPr>
        <w:t>.)</w:t>
      </w:r>
    </w:p>
    <w:p w:rsidR="00A36488" w:rsidRPr="00F61386" w:rsidRDefault="00A36488" w:rsidP="00A36488">
      <w:pPr>
        <w:pStyle w:val="ListParagraph"/>
        <w:ind w:left="2160"/>
        <w:rPr>
          <w:rFonts w:ascii="Tw Cen MT" w:hAnsi="Tw Cen MT"/>
          <w:sz w:val="24"/>
          <w:szCs w:val="24"/>
        </w:rPr>
      </w:pPr>
    </w:p>
    <w:p w:rsidR="0003313E" w:rsidRPr="00F61386" w:rsidRDefault="0003313E" w:rsidP="00091346">
      <w:pPr>
        <w:pStyle w:val="ListParagraph"/>
        <w:numPr>
          <w:ilvl w:val="2"/>
          <w:numId w:val="1"/>
        </w:numPr>
        <w:rPr>
          <w:rFonts w:ascii="Tw Cen MT" w:hAnsi="Tw Cen MT"/>
          <w:sz w:val="24"/>
          <w:szCs w:val="24"/>
        </w:rPr>
      </w:pPr>
      <w:r w:rsidRPr="00F61386">
        <w:rPr>
          <w:rFonts w:ascii="Tw Cen MT" w:hAnsi="Tw Cen MT"/>
          <w:sz w:val="24"/>
          <w:szCs w:val="24"/>
        </w:rPr>
        <w:t xml:space="preserve">Under the Second Circuit’s approach, </w:t>
      </w:r>
      <w:r w:rsidR="006B3FA1" w:rsidRPr="00F61386">
        <w:rPr>
          <w:rFonts w:ascii="Tw Cen MT" w:hAnsi="Tw Cen MT"/>
          <w:sz w:val="24"/>
          <w:szCs w:val="24"/>
        </w:rPr>
        <w:t xml:space="preserve">Dodd-Frank Act retaliation claims could effectively subsume SOX retaliation claims. </w:t>
      </w:r>
      <w:r w:rsidRPr="00F61386">
        <w:rPr>
          <w:rFonts w:ascii="Tw Cen MT" w:hAnsi="Tw Cen MT"/>
          <w:sz w:val="24"/>
          <w:szCs w:val="24"/>
        </w:rPr>
        <w:t xml:space="preserve">Remember, </w:t>
      </w:r>
      <w:r w:rsidR="00A36488" w:rsidRPr="00F61386">
        <w:rPr>
          <w:rFonts w:ascii="Tw Cen MT" w:hAnsi="Tw Cen MT"/>
          <w:sz w:val="24"/>
          <w:szCs w:val="24"/>
        </w:rPr>
        <w:t xml:space="preserve">there are </w:t>
      </w:r>
      <w:r w:rsidR="006B3FA1" w:rsidRPr="00F61386">
        <w:rPr>
          <w:rFonts w:ascii="Tw Cen MT" w:hAnsi="Tw Cen MT"/>
          <w:sz w:val="24"/>
          <w:szCs w:val="24"/>
        </w:rPr>
        <w:t xml:space="preserve">substantial benefits to bringing retaliation claims under Dodd-Frank rather than under SOX. </w:t>
      </w:r>
    </w:p>
    <w:p w:rsidR="0003313E" w:rsidRPr="00F61386" w:rsidRDefault="0003313E" w:rsidP="0003313E">
      <w:pPr>
        <w:pStyle w:val="ListParagraph"/>
        <w:numPr>
          <w:ilvl w:val="3"/>
          <w:numId w:val="1"/>
        </w:numPr>
        <w:rPr>
          <w:rFonts w:ascii="Tw Cen MT" w:hAnsi="Tw Cen MT"/>
          <w:sz w:val="24"/>
          <w:szCs w:val="24"/>
        </w:rPr>
      </w:pPr>
      <w:r w:rsidRPr="00F61386">
        <w:rPr>
          <w:rFonts w:ascii="Tw Cen MT" w:hAnsi="Tw Cen MT"/>
          <w:sz w:val="24"/>
          <w:szCs w:val="24"/>
        </w:rPr>
        <w:t>A</w:t>
      </w:r>
      <w:r w:rsidR="006B3FA1" w:rsidRPr="00F61386">
        <w:rPr>
          <w:rFonts w:ascii="Tw Cen MT" w:hAnsi="Tw Cen MT"/>
          <w:sz w:val="24"/>
          <w:szCs w:val="24"/>
        </w:rPr>
        <w:t xml:space="preserve"> whistleblower must exhaust administrative remedies under SOX by filing a complaint with </w:t>
      </w:r>
      <w:r w:rsidRPr="00F61386">
        <w:rPr>
          <w:rFonts w:ascii="Tw Cen MT" w:hAnsi="Tw Cen MT"/>
          <w:sz w:val="24"/>
          <w:szCs w:val="24"/>
        </w:rPr>
        <w:t>OSHA</w:t>
      </w:r>
      <w:r w:rsidR="006B3FA1" w:rsidRPr="00F61386">
        <w:rPr>
          <w:rFonts w:ascii="Tw Cen MT" w:hAnsi="Tw Cen MT"/>
          <w:sz w:val="24"/>
          <w:szCs w:val="24"/>
        </w:rPr>
        <w:t xml:space="preserve">, while Dodd-Frank allows immediate suit in federal court. </w:t>
      </w:r>
    </w:p>
    <w:p w:rsidR="0003313E" w:rsidRPr="00F61386" w:rsidRDefault="006B3FA1" w:rsidP="0003313E">
      <w:pPr>
        <w:pStyle w:val="ListParagraph"/>
        <w:numPr>
          <w:ilvl w:val="3"/>
          <w:numId w:val="1"/>
        </w:numPr>
        <w:rPr>
          <w:rFonts w:ascii="Tw Cen MT" w:hAnsi="Tw Cen MT"/>
          <w:sz w:val="24"/>
          <w:szCs w:val="24"/>
        </w:rPr>
      </w:pPr>
      <w:r w:rsidRPr="00F61386">
        <w:rPr>
          <w:rFonts w:ascii="Tw Cen MT" w:hAnsi="Tw Cen MT"/>
          <w:sz w:val="24"/>
          <w:szCs w:val="24"/>
        </w:rPr>
        <w:t>SOX requires that a whistleblower file his charge with OSHA within 180 days, whereas the limitations period to sue in court under Dodd</w:t>
      </w:r>
      <w:r w:rsidR="0003313E" w:rsidRPr="00F61386">
        <w:rPr>
          <w:rFonts w:ascii="Tw Cen MT" w:hAnsi="Tw Cen MT"/>
          <w:sz w:val="24"/>
          <w:szCs w:val="24"/>
        </w:rPr>
        <w:t>-</w:t>
      </w:r>
      <w:r w:rsidRPr="00F61386">
        <w:rPr>
          <w:rFonts w:ascii="Tw Cen MT" w:hAnsi="Tw Cen MT"/>
          <w:sz w:val="24"/>
          <w:szCs w:val="24"/>
        </w:rPr>
        <w:t xml:space="preserve">Frank is six years (or three years after the material facts were known or reasonably should have been known to the employee, but in no event longer than ten years). </w:t>
      </w:r>
    </w:p>
    <w:p w:rsidR="006E4CFC" w:rsidRPr="00F61386" w:rsidRDefault="006B3FA1" w:rsidP="0003313E">
      <w:pPr>
        <w:pStyle w:val="ListParagraph"/>
        <w:numPr>
          <w:ilvl w:val="3"/>
          <w:numId w:val="1"/>
        </w:numPr>
        <w:rPr>
          <w:rFonts w:ascii="Tw Cen MT" w:hAnsi="Tw Cen MT"/>
          <w:sz w:val="24"/>
          <w:szCs w:val="24"/>
        </w:rPr>
      </w:pPr>
      <w:r w:rsidRPr="00F61386">
        <w:rPr>
          <w:rFonts w:ascii="Tw Cen MT" w:hAnsi="Tw Cen MT"/>
          <w:sz w:val="24"/>
          <w:szCs w:val="24"/>
        </w:rPr>
        <w:lastRenderedPageBreak/>
        <w:t>Dodd-Frank allows employees to recover</w:t>
      </w:r>
      <w:r w:rsidR="006E4CFC" w:rsidRPr="00F61386">
        <w:rPr>
          <w:rFonts w:ascii="Tw Cen MT" w:hAnsi="Tw Cen MT"/>
          <w:sz w:val="24"/>
          <w:szCs w:val="24"/>
        </w:rPr>
        <w:t xml:space="preserve"> double back pay, whereas only actual back pay is available under SOX. </w:t>
      </w:r>
      <w:r w:rsidR="00557B88" w:rsidRPr="00F61386">
        <w:rPr>
          <w:rFonts w:ascii="Tw Cen MT" w:hAnsi="Tw Cen MT"/>
          <w:sz w:val="24"/>
          <w:szCs w:val="24"/>
        </w:rPr>
        <w:t xml:space="preserve"> Compare 18 U.S.C. § 1514A</w:t>
      </w:r>
      <w:r w:rsidR="006E4CFC" w:rsidRPr="00F61386">
        <w:rPr>
          <w:rFonts w:ascii="Tw Cen MT" w:hAnsi="Tw Cen MT"/>
          <w:sz w:val="24"/>
          <w:szCs w:val="24"/>
        </w:rPr>
        <w:t xml:space="preserve"> with </w:t>
      </w:r>
      <w:r w:rsidR="00794C7D" w:rsidRPr="00F61386">
        <w:rPr>
          <w:rFonts w:ascii="Tw Cen MT" w:hAnsi="Tw Cen MT"/>
          <w:sz w:val="24"/>
          <w:szCs w:val="24"/>
        </w:rPr>
        <w:t>Section 21F</w:t>
      </w:r>
      <w:r w:rsidR="006E4CFC" w:rsidRPr="00F61386">
        <w:rPr>
          <w:rFonts w:ascii="Tw Cen MT" w:hAnsi="Tw Cen MT"/>
          <w:sz w:val="24"/>
          <w:szCs w:val="24"/>
        </w:rPr>
        <w:t xml:space="preserve">(h). </w:t>
      </w:r>
    </w:p>
    <w:p w:rsidR="006E4CFC" w:rsidRPr="00F61386" w:rsidRDefault="006E4CFC" w:rsidP="0003313E">
      <w:pPr>
        <w:pStyle w:val="ListParagraph"/>
        <w:numPr>
          <w:ilvl w:val="3"/>
          <w:numId w:val="1"/>
        </w:numPr>
        <w:rPr>
          <w:rFonts w:ascii="Tw Cen MT" w:hAnsi="Tw Cen MT"/>
          <w:sz w:val="24"/>
          <w:szCs w:val="24"/>
        </w:rPr>
      </w:pPr>
      <w:r w:rsidRPr="00F61386">
        <w:rPr>
          <w:rFonts w:ascii="Tw Cen MT" w:hAnsi="Tw Cen MT"/>
          <w:sz w:val="24"/>
          <w:szCs w:val="24"/>
        </w:rPr>
        <w:t xml:space="preserve">Dodd-Frank’s final rules contain a provision that purports to prevent employers from enforcing confidentiality agreements to prevent whistleblower employees from cooperating with the SEC.  Rule 21F-17(a). </w:t>
      </w:r>
    </w:p>
    <w:p w:rsidR="006B3FA1" w:rsidRPr="00F61386" w:rsidRDefault="006B3FA1" w:rsidP="006E4CFC">
      <w:pPr>
        <w:pStyle w:val="ListParagraph"/>
        <w:ind w:left="2880"/>
        <w:rPr>
          <w:rFonts w:ascii="Tw Cen MT" w:hAnsi="Tw Cen MT"/>
          <w:sz w:val="24"/>
          <w:szCs w:val="24"/>
        </w:rPr>
      </w:pPr>
    </w:p>
    <w:p w:rsidR="006E4CFC" w:rsidRPr="00F61386" w:rsidRDefault="006B3FA1" w:rsidP="008D2D85">
      <w:pPr>
        <w:pStyle w:val="ListParagraph"/>
        <w:numPr>
          <w:ilvl w:val="1"/>
          <w:numId w:val="1"/>
        </w:numPr>
        <w:rPr>
          <w:rFonts w:ascii="Tw Cen MT" w:hAnsi="Tw Cen MT" w:cs="Times New Roman"/>
          <w:sz w:val="24"/>
          <w:szCs w:val="24"/>
        </w:rPr>
      </w:pPr>
      <w:r w:rsidRPr="00F61386">
        <w:rPr>
          <w:rFonts w:ascii="Tw Cen MT" w:hAnsi="Tw Cen MT"/>
          <w:b/>
          <w:sz w:val="24"/>
          <w:szCs w:val="24"/>
        </w:rPr>
        <w:t xml:space="preserve">SEC </w:t>
      </w:r>
      <w:r w:rsidR="006E4CFC" w:rsidRPr="00F61386">
        <w:rPr>
          <w:rFonts w:ascii="Tw Cen MT" w:hAnsi="Tw Cen MT"/>
          <w:b/>
          <w:sz w:val="24"/>
          <w:szCs w:val="24"/>
        </w:rPr>
        <w:t>Enforcement</w:t>
      </w:r>
      <w:r w:rsidR="006E4CFC" w:rsidRPr="00F61386">
        <w:rPr>
          <w:rFonts w:ascii="Tw Cen MT" w:hAnsi="Tw Cen MT"/>
          <w:sz w:val="24"/>
          <w:szCs w:val="24"/>
        </w:rPr>
        <w:t xml:space="preserve"> of the </w:t>
      </w:r>
      <w:r w:rsidRPr="00F61386">
        <w:rPr>
          <w:rFonts w:ascii="Tw Cen MT" w:hAnsi="Tw Cen MT"/>
          <w:sz w:val="24"/>
          <w:szCs w:val="24"/>
        </w:rPr>
        <w:t>Anti-Retaliation Provisions</w:t>
      </w:r>
      <w:r w:rsidR="006E4CFC" w:rsidRPr="00F61386">
        <w:rPr>
          <w:rFonts w:ascii="Tw Cen MT" w:hAnsi="Tw Cen MT"/>
          <w:sz w:val="24"/>
          <w:szCs w:val="24"/>
        </w:rPr>
        <w:t>.</w:t>
      </w:r>
    </w:p>
    <w:p w:rsidR="006E4CFC" w:rsidRPr="00F61386" w:rsidRDefault="006E4CFC" w:rsidP="006E4CFC">
      <w:pPr>
        <w:pStyle w:val="ListParagraph"/>
        <w:numPr>
          <w:ilvl w:val="2"/>
          <w:numId w:val="1"/>
        </w:numPr>
        <w:rPr>
          <w:rFonts w:ascii="Tw Cen MT" w:hAnsi="Tw Cen MT" w:cs="Times New Roman"/>
          <w:sz w:val="24"/>
          <w:szCs w:val="24"/>
        </w:rPr>
      </w:pPr>
      <w:r w:rsidRPr="00F61386">
        <w:rPr>
          <w:rFonts w:ascii="Tw Cen MT" w:hAnsi="Tw Cen MT"/>
          <w:sz w:val="24"/>
          <w:szCs w:val="24"/>
        </w:rPr>
        <w:t>T</w:t>
      </w:r>
      <w:r w:rsidR="006B3FA1" w:rsidRPr="00F61386">
        <w:rPr>
          <w:rFonts w:ascii="Tw Cen MT" w:hAnsi="Tw Cen MT"/>
          <w:sz w:val="24"/>
          <w:szCs w:val="24"/>
        </w:rPr>
        <w:t>he SEC Adopting Rel</w:t>
      </w:r>
      <w:r w:rsidRPr="00F61386">
        <w:rPr>
          <w:rFonts w:ascii="Tw Cen MT" w:hAnsi="Tw Cen MT"/>
          <w:sz w:val="24"/>
          <w:szCs w:val="24"/>
        </w:rPr>
        <w:t>ease said the SEC had</w:t>
      </w:r>
      <w:r w:rsidR="006B3FA1" w:rsidRPr="00F61386">
        <w:rPr>
          <w:rFonts w:ascii="Tw Cen MT" w:hAnsi="Tw Cen MT"/>
          <w:sz w:val="24"/>
          <w:szCs w:val="24"/>
        </w:rPr>
        <w:t xml:space="preserve"> enforcement authority for violations by employers who retaliate against</w:t>
      </w:r>
      <w:r w:rsidRPr="00F61386">
        <w:rPr>
          <w:rFonts w:ascii="Tw Cen MT" w:hAnsi="Tw Cen MT"/>
          <w:sz w:val="24"/>
          <w:szCs w:val="24"/>
        </w:rPr>
        <w:t xml:space="preserve"> whistleblowers</w:t>
      </w:r>
      <w:r w:rsidR="006B3FA1" w:rsidRPr="00F61386">
        <w:rPr>
          <w:rFonts w:ascii="Tw Cen MT" w:hAnsi="Tw Cen MT"/>
          <w:sz w:val="24"/>
          <w:szCs w:val="24"/>
        </w:rPr>
        <w:t>.</w:t>
      </w:r>
      <w:r w:rsidRPr="00F61386">
        <w:rPr>
          <w:rFonts w:ascii="Tw Cen MT" w:hAnsi="Tw Cen MT"/>
          <w:sz w:val="24"/>
          <w:szCs w:val="24"/>
        </w:rPr>
        <w:t xml:space="preserve">  SEC Adopting Release, 76 Fed. Reg. at 34,304.</w:t>
      </w:r>
      <w:r w:rsidR="00F4124E" w:rsidRPr="00F61386">
        <w:rPr>
          <w:rFonts w:ascii="Tw Cen MT" w:hAnsi="Tw Cen MT"/>
          <w:sz w:val="24"/>
          <w:szCs w:val="24"/>
        </w:rPr>
        <w:t xml:space="preserve">  This provision surprised observers, as the Department of Labor historically has not brought enforcement actions under SOX.</w:t>
      </w:r>
    </w:p>
    <w:p w:rsidR="00786F4A" w:rsidRPr="00F61386" w:rsidRDefault="00786F4A" w:rsidP="00786F4A">
      <w:pPr>
        <w:pStyle w:val="ListParagraph"/>
        <w:ind w:left="2160"/>
        <w:rPr>
          <w:rFonts w:ascii="Tw Cen MT" w:hAnsi="Tw Cen MT" w:cs="Times New Roman"/>
          <w:sz w:val="24"/>
          <w:szCs w:val="24"/>
        </w:rPr>
      </w:pPr>
    </w:p>
    <w:p w:rsidR="006E4CFC" w:rsidRPr="00F61386" w:rsidRDefault="006E4CFC" w:rsidP="006E4CFC">
      <w:pPr>
        <w:pStyle w:val="ListParagraph"/>
        <w:numPr>
          <w:ilvl w:val="2"/>
          <w:numId w:val="1"/>
        </w:numPr>
        <w:rPr>
          <w:rFonts w:ascii="Tw Cen MT" w:hAnsi="Tw Cen MT" w:cs="Times New Roman"/>
          <w:sz w:val="24"/>
          <w:szCs w:val="24"/>
        </w:rPr>
      </w:pPr>
      <w:r w:rsidRPr="00F61386">
        <w:rPr>
          <w:rFonts w:ascii="Tw Cen MT" w:hAnsi="Tw Cen MT"/>
          <w:b/>
          <w:i/>
          <w:sz w:val="24"/>
          <w:szCs w:val="24"/>
        </w:rPr>
        <w:t>In re Paradigm Capital Management</w:t>
      </w:r>
      <w:r w:rsidRPr="00F61386">
        <w:rPr>
          <w:rFonts w:ascii="Tw Cen MT" w:hAnsi="Tw Cen MT"/>
          <w:sz w:val="24"/>
          <w:szCs w:val="24"/>
        </w:rPr>
        <w:t>, Exchange Act. Rel. No. 72393 (June 16, 2014).</w:t>
      </w:r>
    </w:p>
    <w:p w:rsidR="004A5858" w:rsidRPr="00F61386" w:rsidRDefault="004A5858" w:rsidP="004A5858">
      <w:pPr>
        <w:pStyle w:val="ListParagraph"/>
        <w:numPr>
          <w:ilvl w:val="3"/>
          <w:numId w:val="1"/>
        </w:numPr>
        <w:rPr>
          <w:rStyle w:val="apple-converted-space"/>
          <w:rFonts w:ascii="Tw Cen MT" w:hAnsi="Tw Cen MT" w:cs="Times New Roman"/>
          <w:sz w:val="24"/>
          <w:szCs w:val="24"/>
        </w:rPr>
      </w:pPr>
      <w:r w:rsidRPr="00F61386">
        <w:rPr>
          <w:rStyle w:val="apple-converted-space"/>
          <w:rFonts w:ascii="Tw Cen MT" w:hAnsi="Tw Cen MT" w:cs="Times New Roman"/>
          <w:sz w:val="24"/>
          <w:szCs w:val="24"/>
        </w:rPr>
        <w:t>Paradigm engaged in principal transactions with an affiliated broker-dealer, without providing effective disclosure to a hedge fund client advised by Paradigm.</w:t>
      </w:r>
    </w:p>
    <w:p w:rsidR="004A5858" w:rsidRPr="00F61386" w:rsidRDefault="004A5858" w:rsidP="004A5858">
      <w:pPr>
        <w:pStyle w:val="ListParagraph"/>
        <w:numPr>
          <w:ilvl w:val="3"/>
          <w:numId w:val="1"/>
        </w:numPr>
        <w:rPr>
          <w:rFonts w:ascii="Tw Cen MT" w:hAnsi="Tw Cen MT" w:cs="Times New Roman"/>
          <w:sz w:val="24"/>
          <w:szCs w:val="24"/>
        </w:rPr>
      </w:pPr>
      <w:r w:rsidRPr="00F61386">
        <w:rPr>
          <w:rStyle w:val="apple-converted-space"/>
          <w:rFonts w:ascii="Tw Cen MT" w:hAnsi="Tw Cen MT" w:cs="Times New Roman"/>
          <w:sz w:val="24"/>
          <w:szCs w:val="24"/>
        </w:rPr>
        <w:t xml:space="preserve">Mar. 2012: Paradigm’s then-head trader </w:t>
      </w:r>
      <w:r w:rsidRPr="00F61386">
        <w:rPr>
          <w:rFonts w:ascii="Tw Cen MT" w:hAnsi="Tw Cen MT" w:cs="Arial"/>
          <w:color w:val="222222"/>
          <w:sz w:val="24"/>
          <w:szCs w:val="24"/>
          <w:shd w:val="clear" w:color="auto" w:fill="FFFFFF"/>
        </w:rPr>
        <w:t>made a whistleblower submission to the SEC that revealed these principal transactions.</w:t>
      </w:r>
    </w:p>
    <w:p w:rsidR="004A5858" w:rsidRPr="00F61386" w:rsidRDefault="004A5858" w:rsidP="004A5858">
      <w:pPr>
        <w:pStyle w:val="ListParagraph"/>
        <w:numPr>
          <w:ilvl w:val="3"/>
          <w:numId w:val="1"/>
        </w:numPr>
        <w:rPr>
          <w:rStyle w:val="apple-converted-space"/>
          <w:rFonts w:ascii="Tw Cen MT" w:hAnsi="Tw Cen MT" w:cs="Times New Roman"/>
          <w:sz w:val="24"/>
          <w:szCs w:val="24"/>
        </w:rPr>
      </w:pPr>
      <w:r w:rsidRPr="00F61386">
        <w:rPr>
          <w:rFonts w:ascii="Tw Cen MT" w:hAnsi="Tw Cen MT" w:cs="Arial"/>
          <w:color w:val="222222"/>
          <w:sz w:val="24"/>
          <w:szCs w:val="24"/>
          <w:shd w:val="clear" w:color="auto" w:fill="FFFFFF"/>
        </w:rPr>
        <w:t xml:space="preserve">July 2012: </w:t>
      </w:r>
      <w:r w:rsidRPr="00F61386">
        <w:rPr>
          <w:rStyle w:val="apple-converted-space"/>
          <w:rFonts w:ascii="Tw Cen MT" w:hAnsi="Tw Cen MT" w:cs="Arial"/>
          <w:color w:val="222222"/>
          <w:sz w:val="24"/>
          <w:szCs w:val="24"/>
          <w:shd w:val="clear" w:color="auto" w:fill="FFFFFF"/>
        </w:rPr>
        <w:t> </w:t>
      </w:r>
      <w:r w:rsidR="00CD0C8D" w:rsidRPr="00F61386">
        <w:rPr>
          <w:rStyle w:val="apple-converted-space"/>
          <w:rFonts w:ascii="Tw Cen MT" w:hAnsi="Tw Cen MT" w:cs="Arial"/>
          <w:color w:val="222222"/>
          <w:sz w:val="24"/>
          <w:szCs w:val="24"/>
          <w:shd w:val="clear" w:color="auto" w:fill="FFFFFF"/>
        </w:rPr>
        <w:t>Paradigm tells trader: don’t bother coming in tomorrow.  Over the next month, the trader is marginalized and removed from his role, but not fired.</w:t>
      </w:r>
    </w:p>
    <w:p w:rsidR="00CD0C8D" w:rsidRPr="00F61386" w:rsidRDefault="00CD0C8D" w:rsidP="004A5858">
      <w:pPr>
        <w:pStyle w:val="ListParagraph"/>
        <w:numPr>
          <w:ilvl w:val="3"/>
          <w:numId w:val="1"/>
        </w:numPr>
        <w:rPr>
          <w:rStyle w:val="apple-converted-space"/>
          <w:rFonts w:ascii="Tw Cen MT" w:hAnsi="Tw Cen MT" w:cs="Times New Roman"/>
          <w:sz w:val="24"/>
          <w:szCs w:val="24"/>
        </w:rPr>
      </w:pPr>
      <w:r w:rsidRPr="00F61386">
        <w:rPr>
          <w:rStyle w:val="apple-converted-space"/>
          <w:rFonts w:ascii="Tw Cen MT" w:hAnsi="Tw Cen MT" w:cs="Arial"/>
          <w:color w:val="222222"/>
          <w:sz w:val="24"/>
          <w:szCs w:val="24"/>
          <w:shd w:val="clear" w:color="auto" w:fill="FFFFFF"/>
        </w:rPr>
        <w:t>Action brought under Section 21F(h).</w:t>
      </w:r>
    </w:p>
    <w:p w:rsidR="00640BB3" w:rsidRPr="00F61386" w:rsidRDefault="00640BB3" w:rsidP="00640BB3">
      <w:pPr>
        <w:pStyle w:val="ListParagraph"/>
        <w:ind w:left="2160"/>
        <w:rPr>
          <w:rFonts w:ascii="Tw Cen MT" w:hAnsi="Tw Cen MT" w:cs="Times New Roman"/>
          <w:sz w:val="24"/>
          <w:szCs w:val="24"/>
        </w:rPr>
      </w:pPr>
    </w:p>
    <w:p w:rsidR="00640BB3" w:rsidRPr="00F61386" w:rsidRDefault="00A36488" w:rsidP="00640BB3">
      <w:pPr>
        <w:pStyle w:val="ListParagraph"/>
        <w:numPr>
          <w:ilvl w:val="1"/>
          <w:numId w:val="1"/>
        </w:numPr>
        <w:rPr>
          <w:rFonts w:ascii="Tw Cen MT" w:hAnsi="Tw Cen MT" w:cs="Times New Roman"/>
          <w:sz w:val="24"/>
          <w:szCs w:val="24"/>
        </w:rPr>
      </w:pPr>
      <w:r w:rsidRPr="00F61386">
        <w:rPr>
          <w:rFonts w:ascii="Tw Cen MT" w:hAnsi="Tw Cen MT"/>
          <w:sz w:val="24"/>
          <w:szCs w:val="24"/>
        </w:rPr>
        <w:t>A</w:t>
      </w:r>
      <w:r w:rsidR="00640BB3" w:rsidRPr="00F61386">
        <w:rPr>
          <w:rFonts w:ascii="Tw Cen MT" w:hAnsi="Tw Cen MT"/>
          <w:sz w:val="24"/>
          <w:szCs w:val="24"/>
        </w:rPr>
        <w:t>nti-</w:t>
      </w:r>
      <w:r w:rsidRPr="00F61386">
        <w:rPr>
          <w:rFonts w:ascii="Tw Cen MT" w:hAnsi="Tw Cen MT"/>
          <w:sz w:val="24"/>
          <w:szCs w:val="24"/>
        </w:rPr>
        <w:t>r</w:t>
      </w:r>
      <w:r w:rsidR="00640BB3" w:rsidRPr="00F61386">
        <w:rPr>
          <w:rFonts w:ascii="Tw Cen MT" w:hAnsi="Tw Cen MT"/>
          <w:sz w:val="24"/>
          <w:szCs w:val="24"/>
        </w:rPr>
        <w:t xml:space="preserve">etaliation protections </w:t>
      </w:r>
      <w:r w:rsidRPr="00F61386">
        <w:rPr>
          <w:rFonts w:ascii="Tw Cen MT" w:hAnsi="Tw Cen MT"/>
          <w:sz w:val="24"/>
          <w:szCs w:val="24"/>
        </w:rPr>
        <w:t>cannot</w:t>
      </w:r>
      <w:r w:rsidR="00640BB3" w:rsidRPr="00F61386">
        <w:rPr>
          <w:rFonts w:ascii="Tw Cen MT" w:hAnsi="Tw Cen MT"/>
          <w:sz w:val="24"/>
          <w:szCs w:val="24"/>
        </w:rPr>
        <w:t xml:space="preserve"> be waived.  “Any condition, stipulation, or provision binding any person to waive compliance with any provision of this chapter or of any rule or regulation thereunder . . . . shall be void.”  15 U.S.C. § 78cc(a).</w:t>
      </w:r>
      <w:r w:rsidR="0020343A" w:rsidRPr="00F61386">
        <w:rPr>
          <w:rFonts w:ascii="Tw Cen MT" w:hAnsi="Tw Cen MT"/>
          <w:sz w:val="24"/>
          <w:szCs w:val="24"/>
        </w:rPr>
        <w:t xml:space="preserve">  Also, any agreement that prevents employees or other individuals from disclosing information about possible securities laws violations is unenforceable under the Whistleblower Rules.  Rule 21F-17(a).</w:t>
      </w:r>
    </w:p>
    <w:p w:rsidR="0020343A" w:rsidRPr="00F61386" w:rsidRDefault="0020343A" w:rsidP="0020343A">
      <w:pPr>
        <w:pStyle w:val="ListParagraph"/>
        <w:ind w:left="1440"/>
        <w:rPr>
          <w:rFonts w:ascii="Tw Cen MT" w:hAnsi="Tw Cen MT" w:cs="Times New Roman"/>
          <w:sz w:val="24"/>
          <w:szCs w:val="24"/>
        </w:rPr>
      </w:pPr>
    </w:p>
    <w:p w:rsidR="002A40FF" w:rsidRPr="00F61386" w:rsidRDefault="002A40FF" w:rsidP="00826606">
      <w:pPr>
        <w:pStyle w:val="ListParagraph"/>
        <w:numPr>
          <w:ilvl w:val="2"/>
          <w:numId w:val="1"/>
        </w:numPr>
        <w:rPr>
          <w:rFonts w:ascii="Tw Cen MT" w:hAnsi="Tw Cen MT" w:cs="Times New Roman"/>
          <w:sz w:val="24"/>
          <w:szCs w:val="24"/>
        </w:rPr>
      </w:pPr>
      <w:r w:rsidRPr="00F61386">
        <w:rPr>
          <w:rFonts w:ascii="Tw Cen MT" w:hAnsi="Tw Cen MT" w:cs="Times New Roman"/>
          <w:sz w:val="24"/>
          <w:szCs w:val="24"/>
        </w:rPr>
        <w:t xml:space="preserve">Also in 2014, </w:t>
      </w:r>
      <w:r w:rsidR="006E4CFC" w:rsidRPr="00F61386">
        <w:rPr>
          <w:rFonts w:ascii="Tw Cen MT" w:hAnsi="Tw Cen MT" w:cs="Times New Roman"/>
          <w:sz w:val="24"/>
          <w:szCs w:val="24"/>
        </w:rPr>
        <w:t xml:space="preserve">Sean McKessy warned </w:t>
      </w:r>
      <w:r w:rsidRPr="00F61386">
        <w:rPr>
          <w:rFonts w:ascii="Tw Cen MT" w:hAnsi="Tw Cen MT" w:cs="Times New Roman"/>
          <w:sz w:val="24"/>
          <w:szCs w:val="24"/>
        </w:rPr>
        <w:t>against companies writing severance agreements to buy their former employees’ silence with post-employment benefits.  “And if we find that kind of language, not only are we going to go to the companies, we are going to go after the lawyers who drafted it.”  Brian Mahoney, SEC Warns In-House Attorneys against Whistleblower Contracts, Law360 (Mar. 14, 2014).</w:t>
      </w:r>
    </w:p>
    <w:p w:rsidR="00640BB3" w:rsidRPr="00F61386" w:rsidRDefault="00640BB3" w:rsidP="00640BB3">
      <w:pPr>
        <w:pStyle w:val="ListParagraph"/>
        <w:ind w:left="2160"/>
        <w:rPr>
          <w:rFonts w:ascii="Tw Cen MT" w:hAnsi="Tw Cen MT" w:cs="Times New Roman"/>
          <w:sz w:val="24"/>
          <w:szCs w:val="24"/>
        </w:rPr>
      </w:pPr>
    </w:p>
    <w:p w:rsidR="002A40FF" w:rsidRPr="00F61386" w:rsidRDefault="002A40FF" w:rsidP="002A40FF">
      <w:pPr>
        <w:pStyle w:val="ListParagraph"/>
        <w:numPr>
          <w:ilvl w:val="2"/>
          <w:numId w:val="1"/>
        </w:numPr>
        <w:rPr>
          <w:rFonts w:ascii="Tw Cen MT" w:hAnsi="Tw Cen MT" w:cs="Times New Roman"/>
          <w:sz w:val="24"/>
          <w:szCs w:val="24"/>
        </w:rPr>
      </w:pPr>
      <w:r w:rsidRPr="00F61386">
        <w:rPr>
          <w:rFonts w:ascii="Tw Cen MT" w:hAnsi="Tw Cen MT" w:cs="Times New Roman"/>
          <w:sz w:val="24"/>
          <w:szCs w:val="24"/>
        </w:rPr>
        <w:t xml:space="preserve">Early this year, the WSJ reported that the SEC had sent a voluntary request letter asking a number of companies “to </w:t>
      </w:r>
      <w:r w:rsidRPr="00F61386">
        <w:rPr>
          <w:rFonts w:ascii="Tw Cen MT" w:hAnsi="Tw Cen MT"/>
          <w:sz w:val="24"/>
          <w:szCs w:val="24"/>
        </w:rPr>
        <w:t xml:space="preserve">turn over every </w:t>
      </w:r>
      <w:r w:rsidRPr="00F61386">
        <w:rPr>
          <w:rFonts w:ascii="Tw Cen MT" w:hAnsi="Tw Cen MT"/>
          <w:sz w:val="24"/>
          <w:szCs w:val="24"/>
        </w:rPr>
        <w:lastRenderedPageBreak/>
        <w:t>nondisclosure agreement, confidentiality agreement, severance agreement and settlement agreement they entered into with employees since Dodd-Frank went into effect, as well as documents related to corporate training on confidentiality.”  The letter also asked for “all documents that refer or relate to whistleblowing” and a list of terminated employees.”  Rachel Louise Ensign, SEC Probes Companies’ Treatment of Whistleblowers, Wall Street Journal (Feb. 25, 2015</w:t>
      </w:r>
      <w:r w:rsidRPr="00F61386">
        <w:rPr>
          <w:rFonts w:ascii="Tw Cen MT" w:hAnsi="Tw Cen MT"/>
          <w:color w:val="333333"/>
          <w:sz w:val="24"/>
          <w:szCs w:val="24"/>
        </w:rPr>
        <w:t>).</w:t>
      </w:r>
    </w:p>
    <w:p w:rsidR="00640BB3" w:rsidRPr="00F61386" w:rsidRDefault="00640BB3" w:rsidP="00640BB3">
      <w:pPr>
        <w:pStyle w:val="ListParagraph"/>
        <w:rPr>
          <w:rFonts w:ascii="Tw Cen MT" w:hAnsi="Tw Cen MT" w:cs="Times New Roman"/>
          <w:sz w:val="24"/>
          <w:szCs w:val="24"/>
        </w:rPr>
      </w:pPr>
    </w:p>
    <w:p w:rsidR="002A40FF" w:rsidRPr="00F61386" w:rsidRDefault="00F4124E" w:rsidP="00826606">
      <w:pPr>
        <w:pStyle w:val="ListParagraph"/>
        <w:numPr>
          <w:ilvl w:val="2"/>
          <w:numId w:val="1"/>
        </w:numPr>
        <w:rPr>
          <w:rFonts w:ascii="Tw Cen MT" w:hAnsi="Tw Cen MT" w:cs="Times New Roman"/>
          <w:sz w:val="24"/>
          <w:szCs w:val="24"/>
        </w:rPr>
      </w:pPr>
      <w:r w:rsidRPr="00F61386">
        <w:rPr>
          <w:rFonts w:ascii="Tw Cen MT" w:hAnsi="Tw Cen MT" w:cs="Times New Roman"/>
          <w:b/>
          <w:i/>
          <w:sz w:val="24"/>
          <w:szCs w:val="24"/>
        </w:rPr>
        <w:t>In re KBR, Inc.</w:t>
      </w:r>
      <w:r w:rsidRPr="00F61386">
        <w:rPr>
          <w:rFonts w:ascii="Tw Cen MT" w:hAnsi="Tw Cen MT" w:cs="Times New Roman"/>
          <w:sz w:val="24"/>
          <w:szCs w:val="24"/>
        </w:rPr>
        <w:t>, Exch. Act Rel. No. 74619 (Apr. 1, 2015).</w:t>
      </w:r>
    </w:p>
    <w:p w:rsidR="00A36488" w:rsidRPr="00F61386" w:rsidRDefault="00A36488" w:rsidP="00A36488">
      <w:pPr>
        <w:pStyle w:val="ListParagraph"/>
        <w:rPr>
          <w:rFonts w:ascii="Tw Cen MT" w:hAnsi="Tw Cen MT" w:cs="Times New Roman"/>
          <w:sz w:val="24"/>
          <w:szCs w:val="24"/>
        </w:rPr>
      </w:pPr>
    </w:p>
    <w:p w:rsidR="00A36488" w:rsidRPr="00F61386" w:rsidRDefault="00A36488" w:rsidP="00A36488">
      <w:pPr>
        <w:pStyle w:val="ListParagraph"/>
        <w:numPr>
          <w:ilvl w:val="3"/>
          <w:numId w:val="1"/>
        </w:numPr>
        <w:rPr>
          <w:rFonts w:ascii="Tw Cen MT" w:hAnsi="Tw Cen MT" w:cs="Times New Roman"/>
          <w:sz w:val="24"/>
          <w:szCs w:val="24"/>
        </w:rPr>
      </w:pPr>
      <w:r w:rsidRPr="00F61386">
        <w:rPr>
          <w:rFonts w:ascii="Tw Cen MT" w:hAnsi="Tw Cen MT" w:cs="Times New Roman"/>
          <w:sz w:val="24"/>
          <w:szCs w:val="24"/>
        </w:rPr>
        <w:t xml:space="preserve">The agreements at issue arose out of internal investigations at KBR and required witnesses in those investigations to keep quiet about what they learned from them.  </w:t>
      </w:r>
    </w:p>
    <w:p w:rsidR="00A72C41" w:rsidRPr="00F61386" w:rsidRDefault="00A72C41" w:rsidP="00A72C41">
      <w:pPr>
        <w:pStyle w:val="ListParagraph"/>
        <w:ind w:left="2880"/>
        <w:rPr>
          <w:rFonts w:ascii="Tw Cen MT" w:hAnsi="Tw Cen MT" w:cs="Times New Roman"/>
          <w:sz w:val="24"/>
          <w:szCs w:val="24"/>
        </w:rPr>
      </w:pPr>
    </w:p>
    <w:p w:rsidR="00A36488" w:rsidRPr="00F61386" w:rsidRDefault="00A36488" w:rsidP="00A36488">
      <w:pPr>
        <w:pStyle w:val="ListParagraph"/>
        <w:numPr>
          <w:ilvl w:val="3"/>
          <w:numId w:val="1"/>
        </w:numPr>
        <w:rPr>
          <w:rFonts w:ascii="Tw Cen MT" w:hAnsi="Tw Cen MT" w:cs="Times New Roman"/>
          <w:sz w:val="24"/>
          <w:szCs w:val="24"/>
        </w:rPr>
      </w:pPr>
      <w:r w:rsidRPr="00F61386">
        <w:rPr>
          <w:rFonts w:ascii="Tw Cen MT" w:hAnsi="Tw Cen MT" w:cs="Times New Roman"/>
          <w:sz w:val="24"/>
          <w:szCs w:val="24"/>
        </w:rPr>
        <w:t>The language read this way: “I understand that in order to protect the integrity of this review, I am prohibited from discussing any particulars regarding this interview and the subject matter discussed during the interview, without the prior authorization of the Law Department.  I understand that the unauthorized disclosure of information may be grounds for disciplinary action up to and including termination of employment.”</w:t>
      </w:r>
    </w:p>
    <w:p w:rsidR="00A72C41" w:rsidRPr="00F61386" w:rsidRDefault="00A72C41" w:rsidP="00A72C41">
      <w:pPr>
        <w:pStyle w:val="ListParagraph"/>
        <w:rPr>
          <w:rFonts w:ascii="Tw Cen MT" w:hAnsi="Tw Cen MT" w:cs="Times New Roman"/>
          <w:sz w:val="24"/>
          <w:szCs w:val="24"/>
        </w:rPr>
      </w:pPr>
    </w:p>
    <w:p w:rsidR="00D32931" w:rsidRPr="00F61386" w:rsidRDefault="00D32931" w:rsidP="00A36488">
      <w:pPr>
        <w:pStyle w:val="ListParagraph"/>
        <w:numPr>
          <w:ilvl w:val="3"/>
          <w:numId w:val="1"/>
        </w:numPr>
        <w:rPr>
          <w:rFonts w:ascii="Tw Cen MT" w:hAnsi="Tw Cen MT" w:cs="Times New Roman"/>
          <w:sz w:val="24"/>
          <w:szCs w:val="24"/>
        </w:rPr>
      </w:pPr>
      <w:r w:rsidRPr="00F61386">
        <w:rPr>
          <w:rFonts w:ascii="Tw Cen MT" w:hAnsi="Tw Cen MT" w:cs="Times New Roman"/>
          <w:sz w:val="24"/>
          <w:szCs w:val="24"/>
        </w:rPr>
        <w:t>Language written before Dodd-Frank’s passage in 2010.  It apparently never prevented a KBR employee from communicating with the Commission.  And it doesn’t refer to the SEC as a prohibited destination for the confidential information.</w:t>
      </w:r>
    </w:p>
    <w:p w:rsidR="00A72C41" w:rsidRPr="00F61386" w:rsidRDefault="00A72C41" w:rsidP="00A72C41">
      <w:pPr>
        <w:pStyle w:val="ListParagraph"/>
        <w:rPr>
          <w:rFonts w:ascii="Tw Cen MT" w:hAnsi="Tw Cen MT" w:cs="Times New Roman"/>
          <w:sz w:val="24"/>
          <w:szCs w:val="24"/>
        </w:rPr>
      </w:pPr>
    </w:p>
    <w:p w:rsidR="00D32931" w:rsidRPr="00F61386" w:rsidRDefault="00D32931" w:rsidP="00A36488">
      <w:pPr>
        <w:pStyle w:val="ListParagraph"/>
        <w:numPr>
          <w:ilvl w:val="3"/>
          <w:numId w:val="1"/>
        </w:numPr>
        <w:rPr>
          <w:rFonts w:ascii="Tw Cen MT" w:hAnsi="Tw Cen MT" w:cs="Times New Roman"/>
          <w:sz w:val="24"/>
          <w:szCs w:val="24"/>
        </w:rPr>
      </w:pPr>
      <w:r w:rsidRPr="00F61386">
        <w:rPr>
          <w:rFonts w:ascii="Tw Cen MT" w:hAnsi="Tw Cen MT" w:cs="Times New Roman"/>
          <w:sz w:val="24"/>
          <w:szCs w:val="24"/>
        </w:rPr>
        <w:t>KBR’s new language:  “Nothing in this Confidentiality Statement prohibits me from reporting possible violations of federal law or regulation to any governmental agency or entity, including but not limited to the Department of Justice, the Securities and Exchange Commission, the Congress, and any Inspector General, or making other disclosures that are protected under the whistleblower provisions of federal law or regulation.  I do not need the prior authorization of the Law Department to make any such reports or disclosures and I am not required to notify the company that I have made such reports or disclosures.”</w:t>
      </w:r>
    </w:p>
    <w:p w:rsidR="00640BB3" w:rsidRPr="00F61386" w:rsidRDefault="00640BB3" w:rsidP="00640BB3">
      <w:pPr>
        <w:pStyle w:val="ListParagraph"/>
        <w:rPr>
          <w:rFonts w:ascii="Tw Cen MT" w:hAnsi="Tw Cen MT" w:cs="Times New Roman"/>
          <w:sz w:val="24"/>
          <w:szCs w:val="24"/>
        </w:rPr>
      </w:pPr>
    </w:p>
    <w:p w:rsidR="006B3FA1" w:rsidRPr="00F61386" w:rsidRDefault="006B3FA1" w:rsidP="006E4CFC">
      <w:pPr>
        <w:pStyle w:val="ListParagraph"/>
        <w:numPr>
          <w:ilvl w:val="2"/>
          <w:numId w:val="1"/>
        </w:numPr>
        <w:rPr>
          <w:rFonts w:ascii="Tw Cen MT" w:hAnsi="Tw Cen MT" w:cs="Times New Roman"/>
          <w:sz w:val="24"/>
          <w:szCs w:val="24"/>
        </w:rPr>
      </w:pPr>
      <w:r w:rsidRPr="00F61386">
        <w:rPr>
          <w:rFonts w:ascii="Tw Cen MT" w:hAnsi="Tw Cen MT"/>
          <w:sz w:val="24"/>
          <w:szCs w:val="24"/>
        </w:rPr>
        <w:t>The CFTC declined to exercise enforcement authority over retaliation claims</w:t>
      </w:r>
      <w:r w:rsidR="00F4124E" w:rsidRPr="00F61386">
        <w:rPr>
          <w:rFonts w:ascii="Tw Cen MT" w:hAnsi="Tw Cen MT"/>
          <w:sz w:val="24"/>
          <w:szCs w:val="24"/>
        </w:rPr>
        <w:t>.</w:t>
      </w:r>
    </w:p>
    <w:p w:rsidR="00640BB3" w:rsidRDefault="00640BB3" w:rsidP="00640BB3">
      <w:pPr>
        <w:pStyle w:val="ListParagraph"/>
        <w:ind w:left="2160"/>
        <w:rPr>
          <w:rFonts w:ascii="Tw Cen MT" w:hAnsi="Tw Cen MT" w:cs="Times New Roman"/>
          <w:sz w:val="24"/>
          <w:szCs w:val="24"/>
        </w:rPr>
      </w:pPr>
    </w:p>
    <w:p w:rsidR="005C50F2" w:rsidRDefault="005C50F2" w:rsidP="00640BB3">
      <w:pPr>
        <w:pStyle w:val="ListParagraph"/>
        <w:ind w:left="2160"/>
        <w:rPr>
          <w:rFonts w:ascii="Tw Cen MT" w:hAnsi="Tw Cen MT" w:cs="Times New Roman"/>
          <w:sz w:val="24"/>
          <w:szCs w:val="24"/>
        </w:rPr>
      </w:pPr>
    </w:p>
    <w:p w:rsidR="005C50F2" w:rsidRPr="00F61386" w:rsidRDefault="005C50F2" w:rsidP="00640BB3">
      <w:pPr>
        <w:pStyle w:val="ListParagraph"/>
        <w:ind w:left="2160"/>
        <w:rPr>
          <w:rFonts w:ascii="Tw Cen MT" w:hAnsi="Tw Cen MT" w:cs="Times New Roman"/>
          <w:sz w:val="24"/>
          <w:szCs w:val="24"/>
        </w:rPr>
      </w:pPr>
    </w:p>
    <w:p w:rsidR="00F54EA8" w:rsidRPr="00F61386" w:rsidRDefault="006B3FA1" w:rsidP="008D2D85">
      <w:pPr>
        <w:pStyle w:val="ListParagraph"/>
        <w:numPr>
          <w:ilvl w:val="1"/>
          <w:numId w:val="1"/>
        </w:numPr>
        <w:rPr>
          <w:rFonts w:ascii="Tw Cen MT" w:hAnsi="Tw Cen MT" w:cs="Times New Roman"/>
          <w:sz w:val="24"/>
          <w:szCs w:val="24"/>
        </w:rPr>
      </w:pPr>
      <w:r w:rsidRPr="00F61386">
        <w:rPr>
          <w:rFonts w:ascii="Tw Cen MT" w:hAnsi="Tw Cen MT"/>
          <w:b/>
          <w:sz w:val="24"/>
          <w:szCs w:val="24"/>
        </w:rPr>
        <w:lastRenderedPageBreak/>
        <w:t>Extraterritorial Application</w:t>
      </w:r>
      <w:r w:rsidRPr="00F61386">
        <w:rPr>
          <w:rFonts w:ascii="Tw Cen MT" w:hAnsi="Tw Cen MT"/>
          <w:sz w:val="24"/>
          <w:szCs w:val="24"/>
        </w:rPr>
        <w:t xml:space="preserve"> </w:t>
      </w:r>
    </w:p>
    <w:p w:rsidR="00F54EA8" w:rsidRPr="00F61386" w:rsidRDefault="006B3FA1" w:rsidP="00F54EA8">
      <w:pPr>
        <w:pStyle w:val="ListParagraph"/>
        <w:numPr>
          <w:ilvl w:val="2"/>
          <w:numId w:val="1"/>
        </w:numPr>
        <w:rPr>
          <w:rFonts w:ascii="Tw Cen MT" w:hAnsi="Tw Cen MT" w:cs="Times New Roman"/>
          <w:sz w:val="24"/>
          <w:szCs w:val="24"/>
        </w:rPr>
      </w:pPr>
      <w:r w:rsidRPr="00F61386">
        <w:rPr>
          <w:rFonts w:ascii="Tw Cen MT" w:hAnsi="Tw Cen MT"/>
          <w:sz w:val="24"/>
          <w:szCs w:val="24"/>
        </w:rPr>
        <w:t>In the only appellate decision to date examining the question of extraterritorial application of the SOX antiretaliation provision, the First Circuit applied the traditional presumption against the extraterritorial application of Congressional statutes.</w:t>
      </w:r>
      <w:r w:rsidR="00F54EA8" w:rsidRPr="00F61386">
        <w:rPr>
          <w:rFonts w:ascii="Tw Cen MT" w:hAnsi="Tw Cen MT"/>
          <w:sz w:val="24"/>
          <w:szCs w:val="24"/>
        </w:rPr>
        <w:t xml:space="preserve">  </w:t>
      </w:r>
      <w:r w:rsidR="00F54EA8" w:rsidRPr="00F61386">
        <w:rPr>
          <w:rFonts w:ascii="Tw Cen MT" w:hAnsi="Tw Cen MT"/>
          <w:i/>
          <w:sz w:val="24"/>
          <w:szCs w:val="24"/>
        </w:rPr>
        <w:t>Carnero v. Boston Scientific Corp.</w:t>
      </w:r>
      <w:r w:rsidR="00F54EA8" w:rsidRPr="00F61386">
        <w:rPr>
          <w:rFonts w:ascii="Tw Cen MT" w:hAnsi="Tw Cen MT"/>
          <w:sz w:val="24"/>
          <w:szCs w:val="24"/>
        </w:rPr>
        <w:t>, 433 F.3d 1 (1st Cir. 2006).</w:t>
      </w:r>
    </w:p>
    <w:p w:rsidR="00AB4D63" w:rsidRPr="00F61386" w:rsidRDefault="00AB4D63" w:rsidP="00AB4D63">
      <w:pPr>
        <w:pStyle w:val="ListParagraph"/>
        <w:ind w:left="2160"/>
        <w:rPr>
          <w:rFonts w:ascii="Tw Cen MT" w:hAnsi="Tw Cen MT" w:cs="Times New Roman"/>
          <w:sz w:val="24"/>
          <w:szCs w:val="24"/>
        </w:rPr>
      </w:pPr>
    </w:p>
    <w:p w:rsidR="006B3FA1" w:rsidRPr="00F61386" w:rsidRDefault="00F54EA8" w:rsidP="00F54EA8">
      <w:pPr>
        <w:pStyle w:val="ListParagraph"/>
        <w:numPr>
          <w:ilvl w:val="2"/>
          <w:numId w:val="1"/>
        </w:numPr>
        <w:rPr>
          <w:rFonts w:ascii="Tw Cen MT" w:hAnsi="Tw Cen MT" w:cs="Times New Roman"/>
          <w:sz w:val="24"/>
          <w:szCs w:val="24"/>
        </w:rPr>
      </w:pPr>
      <w:r w:rsidRPr="00F61386">
        <w:rPr>
          <w:rFonts w:ascii="Tw Cen MT" w:hAnsi="Tw Cen MT"/>
          <w:sz w:val="24"/>
          <w:szCs w:val="24"/>
        </w:rPr>
        <w:t xml:space="preserve">The Second Circuit went the same way as to the </w:t>
      </w:r>
      <w:r w:rsidR="00AB4D63" w:rsidRPr="00F61386">
        <w:rPr>
          <w:rFonts w:ascii="Tw Cen MT" w:hAnsi="Tw Cen MT"/>
          <w:sz w:val="24"/>
          <w:szCs w:val="24"/>
        </w:rPr>
        <w:t xml:space="preserve">Dodd-Frank anti-retaliation provisions. </w:t>
      </w:r>
      <w:r w:rsidRPr="00F61386">
        <w:rPr>
          <w:rFonts w:ascii="Tw Cen MT" w:hAnsi="Tw Cen MT"/>
          <w:i/>
          <w:sz w:val="24"/>
          <w:szCs w:val="24"/>
        </w:rPr>
        <w:t>Liu v. Siemens AG</w:t>
      </w:r>
      <w:r w:rsidRPr="00F61386">
        <w:rPr>
          <w:rFonts w:ascii="Tw Cen MT" w:hAnsi="Tw Cen MT"/>
          <w:sz w:val="24"/>
          <w:szCs w:val="24"/>
        </w:rPr>
        <w:t>, 763 F.3d 175 (2d Cir. 2014).</w:t>
      </w:r>
    </w:p>
    <w:p w:rsidR="00F54EA8" w:rsidRPr="00F61386" w:rsidRDefault="00F54EA8" w:rsidP="00F54EA8">
      <w:pPr>
        <w:pStyle w:val="ListParagraph"/>
        <w:ind w:left="1440"/>
        <w:rPr>
          <w:rFonts w:ascii="Tw Cen MT" w:hAnsi="Tw Cen MT" w:cs="Times New Roman"/>
          <w:sz w:val="24"/>
          <w:szCs w:val="24"/>
        </w:rPr>
      </w:pPr>
    </w:p>
    <w:p w:rsidR="00AB4D63" w:rsidRPr="00F61386" w:rsidRDefault="006B3FA1" w:rsidP="008D2D85">
      <w:pPr>
        <w:pStyle w:val="ListParagraph"/>
        <w:numPr>
          <w:ilvl w:val="1"/>
          <w:numId w:val="1"/>
        </w:numPr>
        <w:rPr>
          <w:rFonts w:ascii="Tw Cen MT" w:hAnsi="Tw Cen MT" w:cs="Times New Roman"/>
          <w:sz w:val="24"/>
          <w:szCs w:val="24"/>
        </w:rPr>
      </w:pPr>
      <w:r w:rsidRPr="00F61386">
        <w:rPr>
          <w:rFonts w:ascii="Tw Cen MT" w:hAnsi="Tw Cen MT"/>
          <w:b/>
          <w:sz w:val="24"/>
          <w:szCs w:val="24"/>
        </w:rPr>
        <w:t>SEC Communications with Whistleblowers and Attorney-Client Privilege</w:t>
      </w:r>
    </w:p>
    <w:p w:rsidR="00AB4D63" w:rsidRPr="00F61386" w:rsidRDefault="00AB4D63" w:rsidP="00AB4D63">
      <w:pPr>
        <w:pStyle w:val="ListParagraph"/>
        <w:numPr>
          <w:ilvl w:val="2"/>
          <w:numId w:val="1"/>
        </w:numPr>
        <w:rPr>
          <w:rFonts w:ascii="Tw Cen MT" w:hAnsi="Tw Cen MT" w:cs="Times New Roman"/>
          <w:sz w:val="24"/>
          <w:szCs w:val="24"/>
        </w:rPr>
      </w:pPr>
      <w:r w:rsidRPr="00F61386">
        <w:rPr>
          <w:rFonts w:ascii="Tw Cen MT" w:hAnsi="Tw Cen MT"/>
          <w:sz w:val="24"/>
          <w:szCs w:val="24"/>
        </w:rPr>
        <w:t>T</w:t>
      </w:r>
      <w:r w:rsidR="006B3FA1" w:rsidRPr="00F61386">
        <w:rPr>
          <w:rFonts w:ascii="Tw Cen MT" w:hAnsi="Tw Cen MT"/>
          <w:sz w:val="24"/>
          <w:szCs w:val="24"/>
        </w:rPr>
        <w:t>he</w:t>
      </w:r>
      <w:r w:rsidRPr="00F61386">
        <w:rPr>
          <w:rFonts w:ascii="Tw Cen MT" w:hAnsi="Tw Cen MT"/>
          <w:sz w:val="24"/>
          <w:szCs w:val="24"/>
        </w:rPr>
        <w:t xml:space="preserve"> r</w:t>
      </w:r>
      <w:r w:rsidR="006B3FA1" w:rsidRPr="00F61386">
        <w:rPr>
          <w:rFonts w:ascii="Tw Cen MT" w:hAnsi="Tw Cen MT"/>
          <w:sz w:val="24"/>
          <w:szCs w:val="24"/>
        </w:rPr>
        <w:t>ules authorize SEC staff to communicate directly with whistleblowers who are directors, officers, members, agents, or employees of a company who have counsel, without first seeking the consent of the company’s counsel.</w:t>
      </w:r>
      <w:r w:rsidRPr="00F61386">
        <w:rPr>
          <w:rFonts w:ascii="Tw Cen MT" w:hAnsi="Tw Cen MT"/>
          <w:sz w:val="24"/>
          <w:szCs w:val="24"/>
        </w:rPr>
        <w:t xml:space="preserve"> Rule 21F-17(b).</w:t>
      </w:r>
      <w:r w:rsidR="006B3FA1" w:rsidRPr="00F61386">
        <w:rPr>
          <w:rFonts w:ascii="Tw Cen MT" w:hAnsi="Tw Cen MT"/>
          <w:sz w:val="24"/>
          <w:szCs w:val="24"/>
        </w:rPr>
        <w:t xml:space="preserve"> </w:t>
      </w:r>
    </w:p>
    <w:p w:rsidR="00176648" w:rsidRPr="00F61386" w:rsidRDefault="00176648" w:rsidP="00AB4D63">
      <w:pPr>
        <w:pStyle w:val="ListParagraph"/>
        <w:numPr>
          <w:ilvl w:val="2"/>
          <w:numId w:val="1"/>
        </w:numPr>
        <w:rPr>
          <w:rFonts w:ascii="Tw Cen MT" w:hAnsi="Tw Cen MT" w:cs="Times New Roman"/>
          <w:sz w:val="24"/>
          <w:szCs w:val="24"/>
        </w:rPr>
      </w:pPr>
      <w:r w:rsidRPr="00F61386">
        <w:rPr>
          <w:rFonts w:ascii="Tw Cen MT" w:hAnsi="Tw Cen MT"/>
          <w:sz w:val="24"/>
          <w:szCs w:val="24"/>
        </w:rPr>
        <w:t xml:space="preserve">Rule is designed to address </w:t>
      </w:r>
      <w:r w:rsidR="008C0ADB" w:rsidRPr="00F61386">
        <w:rPr>
          <w:rFonts w:ascii="Tw Cen MT" w:hAnsi="Tw Cen MT"/>
          <w:sz w:val="24"/>
          <w:szCs w:val="24"/>
        </w:rPr>
        <w:t>Rule of Professional Conduct 4.2 on communications with people represented by counsel.</w:t>
      </w:r>
    </w:p>
    <w:p w:rsidR="007B2B0F" w:rsidRPr="00F61386" w:rsidRDefault="00AB4D63" w:rsidP="00AB4D63">
      <w:pPr>
        <w:pStyle w:val="ListParagraph"/>
        <w:numPr>
          <w:ilvl w:val="2"/>
          <w:numId w:val="1"/>
        </w:numPr>
        <w:rPr>
          <w:rFonts w:ascii="Tw Cen MT" w:hAnsi="Tw Cen MT" w:cs="Times New Roman"/>
          <w:sz w:val="24"/>
          <w:szCs w:val="24"/>
        </w:rPr>
      </w:pPr>
      <w:r w:rsidRPr="00F61386">
        <w:rPr>
          <w:rFonts w:ascii="Tw Cen MT" w:hAnsi="Tw Cen MT"/>
          <w:sz w:val="24"/>
          <w:szCs w:val="24"/>
        </w:rPr>
        <w:t>The SEC assures us that “</w:t>
      </w:r>
      <w:r w:rsidR="006B3FA1" w:rsidRPr="00F61386">
        <w:rPr>
          <w:rFonts w:ascii="Tw Cen MT" w:hAnsi="Tw Cen MT"/>
          <w:sz w:val="24"/>
          <w:szCs w:val="24"/>
        </w:rPr>
        <w:t>nothing about this rule authorizes the staff to depart from the Commission’s existing procedures and practices when dealing with potential attorney-c</w:t>
      </w:r>
      <w:r w:rsidR="00D637F4" w:rsidRPr="00F61386">
        <w:rPr>
          <w:rFonts w:ascii="Tw Cen MT" w:hAnsi="Tw Cen MT"/>
          <w:sz w:val="24"/>
          <w:szCs w:val="24"/>
        </w:rPr>
        <w:t>lient privileged information.”  SEC Adopting Release, 76 Fed. Reg. at 34,352.</w:t>
      </w:r>
    </w:p>
    <w:p w:rsidR="00A72C41" w:rsidRPr="00F61386" w:rsidRDefault="00A72C41" w:rsidP="00A72C41">
      <w:pPr>
        <w:pStyle w:val="ListParagraph"/>
        <w:ind w:left="2160"/>
        <w:rPr>
          <w:rFonts w:ascii="Tw Cen MT" w:hAnsi="Tw Cen MT" w:cs="Times New Roman"/>
          <w:sz w:val="24"/>
          <w:szCs w:val="24"/>
        </w:rPr>
      </w:pPr>
    </w:p>
    <w:p w:rsidR="00826606" w:rsidRPr="00F61386" w:rsidRDefault="006B3FA1" w:rsidP="008D2D85">
      <w:pPr>
        <w:pStyle w:val="ListParagraph"/>
        <w:numPr>
          <w:ilvl w:val="1"/>
          <w:numId w:val="1"/>
        </w:numPr>
        <w:rPr>
          <w:rFonts w:ascii="Tw Cen MT" w:hAnsi="Tw Cen MT" w:cs="Times New Roman"/>
          <w:sz w:val="24"/>
          <w:szCs w:val="24"/>
        </w:rPr>
      </w:pPr>
      <w:r w:rsidRPr="00F61386">
        <w:rPr>
          <w:rFonts w:ascii="Tw Cen MT" w:hAnsi="Tw Cen MT"/>
          <w:b/>
          <w:sz w:val="24"/>
          <w:szCs w:val="24"/>
        </w:rPr>
        <w:t>Arbitration</w:t>
      </w:r>
      <w:r w:rsidRPr="00F61386">
        <w:rPr>
          <w:rFonts w:ascii="Tw Cen MT" w:hAnsi="Tw Cen MT"/>
          <w:sz w:val="24"/>
          <w:szCs w:val="24"/>
        </w:rPr>
        <w:t xml:space="preserve"> and Alternative Dispute Resolution</w:t>
      </w:r>
      <w:r w:rsidR="00826606" w:rsidRPr="00F61386">
        <w:rPr>
          <w:rFonts w:ascii="Tw Cen MT" w:hAnsi="Tw Cen MT"/>
          <w:sz w:val="24"/>
          <w:szCs w:val="24"/>
        </w:rPr>
        <w:t>.</w:t>
      </w:r>
      <w:r w:rsidRPr="00F61386">
        <w:rPr>
          <w:rFonts w:ascii="Tw Cen MT" w:hAnsi="Tw Cen MT"/>
          <w:sz w:val="24"/>
          <w:szCs w:val="24"/>
        </w:rPr>
        <w:t xml:space="preserve"> </w:t>
      </w:r>
    </w:p>
    <w:p w:rsidR="00826606" w:rsidRPr="00F61386" w:rsidRDefault="006B3FA1" w:rsidP="00826606">
      <w:pPr>
        <w:pStyle w:val="ListParagraph"/>
        <w:numPr>
          <w:ilvl w:val="2"/>
          <w:numId w:val="1"/>
        </w:numPr>
        <w:rPr>
          <w:rFonts w:ascii="Tw Cen MT" w:hAnsi="Tw Cen MT" w:cs="Times New Roman"/>
          <w:sz w:val="24"/>
          <w:szCs w:val="24"/>
        </w:rPr>
      </w:pPr>
      <w:r w:rsidRPr="00F61386">
        <w:rPr>
          <w:rFonts w:ascii="Tw Cen MT" w:hAnsi="Tw Cen MT"/>
          <w:sz w:val="24"/>
          <w:szCs w:val="24"/>
        </w:rPr>
        <w:t xml:space="preserve">Dodd-Frank </w:t>
      </w:r>
      <w:r w:rsidR="00826606" w:rsidRPr="00F61386">
        <w:rPr>
          <w:rFonts w:ascii="Tw Cen MT" w:hAnsi="Tw Cen MT"/>
          <w:sz w:val="24"/>
          <w:szCs w:val="24"/>
        </w:rPr>
        <w:t>pr</w:t>
      </w:r>
      <w:r w:rsidRPr="00F61386">
        <w:rPr>
          <w:rFonts w:ascii="Tw Cen MT" w:hAnsi="Tw Cen MT"/>
          <w:sz w:val="24"/>
          <w:szCs w:val="24"/>
        </w:rPr>
        <w:t xml:space="preserve">ohibits predispute arbitration agreements governing claims under the CFTC, Bureau of Consumer Financial Protection, and SOX whistleblower provisions. </w:t>
      </w:r>
    </w:p>
    <w:p w:rsidR="00826606" w:rsidRPr="00F61386" w:rsidRDefault="00826606" w:rsidP="00826606">
      <w:pPr>
        <w:pStyle w:val="ListParagraph"/>
        <w:numPr>
          <w:ilvl w:val="2"/>
          <w:numId w:val="1"/>
        </w:numPr>
        <w:rPr>
          <w:rFonts w:ascii="Tw Cen MT" w:hAnsi="Tw Cen MT" w:cs="Times New Roman"/>
          <w:sz w:val="24"/>
          <w:szCs w:val="24"/>
        </w:rPr>
      </w:pPr>
      <w:r w:rsidRPr="00F61386">
        <w:rPr>
          <w:rFonts w:ascii="Tw Cen MT" w:hAnsi="Tw Cen MT"/>
          <w:sz w:val="24"/>
          <w:szCs w:val="24"/>
        </w:rPr>
        <w:t>That is significant for</w:t>
      </w:r>
      <w:r w:rsidR="006B3FA1" w:rsidRPr="00F61386">
        <w:rPr>
          <w:rFonts w:ascii="Tw Cen MT" w:hAnsi="Tw Cen MT"/>
          <w:sz w:val="24"/>
          <w:szCs w:val="24"/>
        </w:rPr>
        <w:t xml:space="preserve"> broker-dealers</w:t>
      </w:r>
      <w:r w:rsidRPr="00F61386">
        <w:rPr>
          <w:rFonts w:ascii="Tw Cen MT" w:hAnsi="Tw Cen MT"/>
          <w:sz w:val="24"/>
          <w:szCs w:val="24"/>
        </w:rPr>
        <w:t>, which</w:t>
      </w:r>
      <w:r w:rsidR="006B3FA1" w:rsidRPr="00F61386">
        <w:rPr>
          <w:rFonts w:ascii="Tw Cen MT" w:hAnsi="Tw Cen MT"/>
          <w:sz w:val="24"/>
          <w:szCs w:val="24"/>
        </w:rPr>
        <w:t xml:space="preserve"> frequently require their employees to sign arbitration agreements as part of the standard Form U-4 that is used to register broker-dealer representatives with the SROs. </w:t>
      </w:r>
    </w:p>
    <w:p w:rsidR="00B141BB" w:rsidRPr="00F61386" w:rsidRDefault="00826606" w:rsidP="00DE2B60">
      <w:pPr>
        <w:pStyle w:val="ListParagraph"/>
        <w:numPr>
          <w:ilvl w:val="2"/>
          <w:numId w:val="1"/>
        </w:numPr>
        <w:rPr>
          <w:rFonts w:ascii="Tw Cen MT" w:hAnsi="Tw Cen MT" w:cs="Times New Roman"/>
          <w:sz w:val="24"/>
          <w:szCs w:val="24"/>
        </w:rPr>
      </w:pPr>
      <w:r w:rsidRPr="00F61386">
        <w:rPr>
          <w:rFonts w:ascii="Tw Cen MT" w:hAnsi="Tw Cen MT"/>
          <w:sz w:val="24"/>
          <w:szCs w:val="24"/>
        </w:rPr>
        <w:t xml:space="preserve">But </w:t>
      </w:r>
      <w:r w:rsidR="006B3FA1" w:rsidRPr="00F61386">
        <w:rPr>
          <w:rFonts w:ascii="Tw Cen MT" w:hAnsi="Tw Cen MT"/>
          <w:sz w:val="24"/>
          <w:szCs w:val="24"/>
        </w:rPr>
        <w:t>Dodd-Frank does not bar predispute agreements to arbitrate the “core” whistleblower cause of action.</w:t>
      </w:r>
      <w:r w:rsidRPr="00F61386">
        <w:rPr>
          <w:rFonts w:ascii="Tw Cen MT" w:hAnsi="Tw Cen MT"/>
          <w:sz w:val="24"/>
          <w:szCs w:val="24"/>
        </w:rPr>
        <w:t xml:space="preserve"> </w:t>
      </w:r>
      <w:r w:rsidR="00794C7D" w:rsidRPr="00F61386">
        <w:rPr>
          <w:rFonts w:ascii="Tw Cen MT" w:hAnsi="Tw Cen MT"/>
          <w:sz w:val="24"/>
          <w:szCs w:val="24"/>
        </w:rPr>
        <w:t>Section 21F</w:t>
      </w:r>
      <w:r w:rsidRPr="00F61386">
        <w:rPr>
          <w:rFonts w:ascii="Tw Cen MT" w:hAnsi="Tw Cen MT"/>
          <w:sz w:val="24"/>
          <w:szCs w:val="24"/>
        </w:rPr>
        <w:t xml:space="preserve">.  </w:t>
      </w:r>
      <w:r w:rsidR="006B3FA1" w:rsidRPr="00F61386">
        <w:rPr>
          <w:rFonts w:ascii="Tw Cen MT" w:hAnsi="Tw Cen MT"/>
          <w:sz w:val="24"/>
          <w:szCs w:val="24"/>
        </w:rPr>
        <w:t>This is also potentially significant, because retaliation claims can spawn expensive parallel litigatio</w:t>
      </w:r>
      <w:r w:rsidR="00A72C41" w:rsidRPr="00F61386">
        <w:rPr>
          <w:rFonts w:ascii="Tw Cen MT" w:hAnsi="Tw Cen MT"/>
          <w:sz w:val="24"/>
          <w:szCs w:val="24"/>
        </w:rPr>
        <w:t>n</w:t>
      </w:r>
      <w:r w:rsidR="006B3FA1" w:rsidRPr="00F61386">
        <w:rPr>
          <w:rFonts w:ascii="Tw Cen MT" w:hAnsi="Tw Cen MT"/>
          <w:sz w:val="24"/>
          <w:szCs w:val="24"/>
        </w:rPr>
        <w:t>. If enforced by the courts, predispute arbitration agreements concerning Dodd</w:t>
      </w:r>
      <w:r w:rsidR="00A72C41" w:rsidRPr="00F61386">
        <w:rPr>
          <w:rFonts w:ascii="Tw Cen MT" w:hAnsi="Tw Cen MT"/>
          <w:sz w:val="24"/>
          <w:szCs w:val="24"/>
        </w:rPr>
        <w:t>-</w:t>
      </w:r>
      <w:r w:rsidR="006B3FA1" w:rsidRPr="00F61386">
        <w:rPr>
          <w:rFonts w:ascii="Tw Cen MT" w:hAnsi="Tw Cen MT"/>
          <w:sz w:val="24"/>
          <w:szCs w:val="24"/>
        </w:rPr>
        <w:t>Frank’s anti-retaliation regime could minimize the publicity of retaliation claims and reduce potential exposure.</w:t>
      </w:r>
    </w:p>
    <w:p w:rsidR="00F61386" w:rsidRPr="00F61386" w:rsidRDefault="00F61386" w:rsidP="00F61386">
      <w:pPr>
        <w:pStyle w:val="ListParagraph"/>
        <w:ind w:left="2160"/>
        <w:rPr>
          <w:rFonts w:ascii="Tw Cen MT" w:hAnsi="Tw Cen MT" w:cs="Times New Roman"/>
          <w:sz w:val="24"/>
          <w:szCs w:val="24"/>
        </w:rPr>
      </w:pPr>
    </w:p>
    <w:p w:rsidR="006B3FA1" w:rsidRPr="00F61386" w:rsidRDefault="006B3FA1" w:rsidP="008D2D85">
      <w:pPr>
        <w:pStyle w:val="ListParagraph"/>
        <w:numPr>
          <w:ilvl w:val="0"/>
          <w:numId w:val="1"/>
        </w:numPr>
        <w:rPr>
          <w:rFonts w:ascii="Tw Cen MT" w:hAnsi="Tw Cen MT" w:cs="Times New Roman"/>
          <w:sz w:val="24"/>
          <w:szCs w:val="24"/>
        </w:rPr>
      </w:pPr>
      <w:r w:rsidRPr="00F61386">
        <w:rPr>
          <w:rFonts w:ascii="Tw Cen MT" w:hAnsi="Tw Cen MT"/>
          <w:b/>
          <w:sz w:val="24"/>
          <w:szCs w:val="24"/>
        </w:rPr>
        <w:t>Pr</w:t>
      </w:r>
      <w:r w:rsidR="00826606" w:rsidRPr="00F61386">
        <w:rPr>
          <w:rFonts w:ascii="Tw Cen MT" w:hAnsi="Tw Cen MT"/>
          <w:b/>
          <w:sz w:val="24"/>
          <w:szCs w:val="24"/>
        </w:rPr>
        <w:t>actical Considerations.</w:t>
      </w:r>
      <w:r w:rsidR="00826606" w:rsidRPr="00F61386">
        <w:rPr>
          <w:rFonts w:ascii="Tw Cen MT" w:hAnsi="Tw Cen MT"/>
          <w:sz w:val="24"/>
          <w:szCs w:val="24"/>
        </w:rPr>
        <w:t xml:space="preserve"> </w:t>
      </w:r>
      <w:r w:rsidRPr="00F61386">
        <w:rPr>
          <w:rFonts w:ascii="Tw Cen MT" w:hAnsi="Tw Cen MT"/>
          <w:sz w:val="24"/>
          <w:szCs w:val="24"/>
        </w:rPr>
        <w:t xml:space="preserve"> </w:t>
      </w:r>
      <w:r w:rsidR="00A73D2A" w:rsidRPr="00F61386">
        <w:rPr>
          <w:rFonts w:ascii="Tw Cen MT" w:hAnsi="Tw Cen MT"/>
          <w:sz w:val="24"/>
          <w:szCs w:val="24"/>
        </w:rPr>
        <w:t>C</w:t>
      </w:r>
      <w:r w:rsidRPr="00F61386">
        <w:rPr>
          <w:rFonts w:ascii="Tw Cen MT" w:hAnsi="Tw Cen MT"/>
          <w:sz w:val="24"/>
          <w:szCs w:val="24"/>
        </w:rPr>
        <w:t>ompanies should consider the following four critical compon</w:t>
      </w:r>
      <w:r w:rsidR="00A73D2A" w:rsidRPr="00F61386">
        <w:rPr>
          <w:rFonts w:ascii="Tw Cen MT" w:hAnsi="Tw Cen MT"/>
          <w:sz w:val="24"/>
          <w:szCs w:val="24"/>
        </w:rPr>
        <w:t xml:space="preserve">ents of an effective </w:t>
      </w:r>
      <w:r w:rsidRPr="00F61386">
        <w:rPr>
          <w:rFonts w:ascii="Tw Cen MT" w:hAnsi="Tw Cen MT"/>
          <w:sz w:val="24"/>
          <w:szCs w:val="24"/>
        </w:rPr>
        <w:t>compliance program: (i) a culture of compliance; (ii) internal reporting procedures; (iii) human resources procedures; and (iv) internal investigation practices.</w:t>
      </w:r>
    </w:p>
    <w:p w:rsidR="00A73D2A" w:rsidRDefault="00A73D2A" w:rsidP="00A73D2A">
      <w:pPr>
        <w:pStyle w:val="ListParagraph"/>
        <w:ind w:left="1080"/>
        <w:rPr>
          <w:rFonts w:ascii="Tw Cen MT" w:hAnsi="Tw Cen MT" w:cs="Times New Roman"/>
          <w:sz w:val="24"/>
          <w:szCs w:val="24"/>
        </w:rPr>
      </w:pPr>
    </w:p>
    <w:p w:rsidR="005C50F2" w:rsidRDefault="005C50F2" w:rsidP="00A73D2A">
      <w:pPr>
        <w:pStyle w:val="ListParagraph"/>
        <w:ind w:left="1080"/>
        <w:rPr>
          <w:rFonts w:ascii="Tw Cen MT" w:hAnsi="Tw Cen MT" w:cs="Times New Roman"/>
          <w:sz w:val="24"/>
          <w:szCs w:val="24"/>
        </w:rPr>
      </w:pPr>
    </w:p>
    <w:p w:rsidR="005C50F2" w:rsidRPr="00F61386" w:rsidRDefault="005C50F2" w:rsidP="00A73D2A">
      <w:pPr>
        <w:pStyle w:val="ListParagraph"/>
        <w:ind w:left="1080"/>
        <w:rPr>
          <w:rFonts w:ascii="Tw Cen MT" w:hAnsi="Tw Cen MT" w:cs="Times New Roman"/>
          <w:sz w:val="24"/>
          <w:szCs w:val="24"/>
        </w:rPr>
      </w:pPr>
    </w:p>
    <w:p w:rsidR="00A73D2A" w:rsidRPr="00F61386" w:rsidRDefault="006B3FA1" w:rsidP="008D2D85">
      <w:pPr>
        <w:pStyle w:val="ListParagraph"/>
        <w:numPr>
          <w:ilvl w:val="1"/>
          <w:numId w:val="1"/>
        </w:numPr>
        <w:rPr>
          <w:rFonts w:ascii="Tw Cen MT" w:hAnsi="Tw Cen MT" w:cs="Times New Roman"/>
          <w:sz w:val="24"/>
          <w:szCs w:val="24"/>
        </w:rPr>
      </w:pPr>
      <w:r w:rsidRPr="00F61386">
        <w:rPr>
          <w:rFonts w:ascii="Tw Cen MT" w:hAnsi="Tw Cen MT"/>
          <w:b/>
          <w:sz w:val="24"/>
          <w:szCs w:val="24"/>
        </w:rPr>
        <w:lastRenderedPageBreak/>
        <w:t>Culture of Compliance</w:t>
      </w:r>
      <w:r w:rsidR="00A73D2A" w:rsidRPr="00F61386">
        <w:rPr>
          <w:rFonts w:ascii="Tw Cen MT" w:hAnsi="Tw Cen MT"/>
          <w:sz w:val="24"/>
          <w:szCs w:val="24"/>
        </w:rPr>
        <w:t>.</w:t>
      </w:r>
    </w:p>
    <w:p w:rsidR="00A73D2A" w:rsidRPr="00F61386" w:rsidRDefault="006B3FA1" w:rsidP="00A73D2A">
      <w:pPr>
        <w:pStyle w:val="ListParagraph"/>
        <w:ind w:left="1440"/>
        <w:rPr>
          <w:rFonts w:ascii="Tw Cen MT" w:hAnsi="Tw Cen MT" w:cs="Times New Roman"/>
          <w:sz w:val="24"/>
          <w:szCs w:val="24"/>
        </w:rPr>
      </w:pPr>
      <w:r w:rsidRPr="00F61386">
        <w:rPr>
          <w:rFonts w:ascii="Tw Cen MT" w:hAnsi="Tw Cen MT"/>
          <w:sz w:val="24"/>
          <w:szCs w:val="24"/>
        </w:rPr>
        <w:t xml:space="preserve"> </w:t>
      </w:r>
      <w:r w:rsidR="00A73D2A" w:rsidRPr="00F61386">
        <w:rPr>
          <w:rFonts w:ascii="Tw Cen MT" w:hAnsi="Tw Cen MT"/>
          <w:sz w:val="24"/>
          <w:szCs w:val="24"/>
        </w:rPr>
        <w:t xml:space="preserve"> </w:t>
      </w:r>
    </w:p>
    <w:p w:rsidR="006102E5" w:rsidRPr="00F61386" w:rsidRDefault="006B3FA1" w:rsidP="00A73D2A">
      <w:pPr>
        <w:pStyle w:val="ListParagraph"/>
        <w:numPr>
          <w:ilvl w:val="2"/>
          <w:numId w:val="1"/>
        </w:numPr>
        <w:rPr>
          <w:rFonts w:ascii="Tw Cen MT" w:hAnsi="Tw Cen MT" w:cs="Times New Roman"/>
          <w:sz w:val="24"/>
          <w:szCs w:val="24"/>
        </w:rPr>
      </w:pPr>
      <w:r w:rsidRPr="00F61386">
        <w:rPr>
          <w:rFonts w:ascii="Tw Cen MT" w:hAnsi="Tw Cen MT"/>
          <w:sz w:val="24"/>
          <w:szCs w:val="24"/>
        </w:rPr>
        <w:t xml:space="preserve">As regulated </w:t>
      </w:r>
      <w:r w:rsidR="0039408E" w:rsidRPr="00F61386">
        <w:rPr>
          <w:rFonts w:ascii="Tw Cen MT" w:hAnsi="Tw Cen MT"/>
          <w:sz w:val="24"/>
          <w:szCs w:val="24"/>
        </w:rPr>
        <w:t>entities</w:t>
      </w:r>
      <w:r w:rsidRPr="00F61386">
        <w:rPr>
          <w:rFonts w:ascii="Tw Cen MT" w:hAnsi="Tw Cen MT"/>
          <w:sz w:val="24"/>
          <w:szCs w:val="24"/>
        </w:rPr>
        <w:t xml:space="preserve">, broker-dealers and investment advisers are required to have policies and procedures reasonably designed to prevent and detect violations of law. </w:t>
      </w:r>
      <w:r w:rsidR="00A73D2A" w:rsidRPr="00F61386">
        <w:rPr>
          <w:rFonts w:ascii="Tw Cen MT" w:hAnsi="Tw Cen MT"/>
          <w:sz w:val="24"/>
          <w:szCs w:val="24"/>
        </w:rPr>
        <w:t xml:space="preserve"> </w:t>
      </w:r>
    </w:p>
    <w:p w:rsidR="006102E5" w:rsidRPr="00F61386" w:rsidRDefault="006B3FA1" w:rsidP="006102E5">
      <w:pPr>
        <w:pStyle w:val="ListParagraph"/>
        <w:numPr>
          <w:ilvl w:val="3"/>
          <w:numId w:val="1"/>
        </w:numPr>
        <w:rPr>
          <w:rFonts w:ascii="Tw Cen MT" w:hAnsi="Tw Cen MT" w:cs="Times New Roman"/>
          <w:sz w:val="24"/>
          <w:szCs w:val="24"/>
        </w:rPr>
      </w:pPr>
      <w:r w:rsidRPr="00F61386">
        <w:rPr>
          <w:rFonts w:ascii="Tw Cen MT" w:hAnsi="Tw Cen MT"/>
          <w:sz w:val="24"/>
          <w:szCs w:val="24"/>
        </w:rPr>
        <w:t>For example,</w:t>
      </w:r>
      <w:r w:rsidR="00A73D2A" w:rsidRPr="00F61386">
        <w:rPr>
          <w:rFonts w:ascii="Tw Cen MT" w:hAnsi="Tw Cen MT"/>
          <w:sz w:val="24"/>
          <w:szCs w:val="24"/>
        </w:rPr>
        <w:t xml:space="preserve"> </w:t>
      </w:r>
      <w:r w:rsidR="006102E5" w:rsidRPr="00F61386">
        <w:rPr>
          <w:rFonts w:ascii="Tw Cen MT" w:hAnsi="Tw Cen MT"/>
          <w:sz w:val="24"/>
          <w:szCs w:val="24"/>
        </w:rPr>
        <w:t>potential liability</w:t>
      </w:r>
      <w:r w:rsidR="00A73D2A" w:rsidRPr="00F61386">
        <w:rPr>
          <w:rFonts w:ascii="Tw Cen MT" w:hAnsi="Tw Cen MT"/>
          <w:sz w:val="24"/>
          <w:szCs w:val="24"/>
        </w:rPr>
        <w:t xml:space="preserve"> for failure to supervise associated persons under Sect</w:t>
      </w:r>
      <w:r w:rsidRPr="00F61386">
        <w:rPr>
          <w:rFonts w:ascii="Tw Cen MT" w:hAnsi="Tw Cen MT"/>
          <w:sz w:val="24"/>
          <w:szCs w:val="24"/>
        </w:rPr>
        <w:t xml:space="preserve">ion 15(b)(6)(A)(i) of the Exchange Act </w:t>
      </w:r>
      <w:r w:rsidR="00A73D2A" w:rsidRPr="00F61386">
        <w:rPr>
          <w:rFonts w:ascii="Tw Cen MT" w:hAnsi="Tw Cen MT"/>
          <w:sz w:val="24"/>
          <w:szCs w:val="24"/>
        </w:rPr>
        <w:t>(broker-dealers) and Advisers Act</w:t>
      </w:r>
      <w:r w:rsidRPr="00F61386">
        <w:rPr>
          <w:rFonts w:ascii="Tw Cen MT" w:hAnsi="Tw Cen MT"/>
          <w:sz w:val="24"/>
          <w:szCs w:val="24"/>
        </w:rPr>
        <w:t xml:space="preserve"> Section 203(e)</w:t>
      </w:r>
      <w:r w:rsidR="00A73D2A" w:rsidRPr="00F61386">
        <w:rPr>
          <w:rFonts w:ascii="Tw Cen MT" w:hAnsi="Tw Cen MT"/>
          <w:sz w:val="24"/>
          <w:szCs w:val="24"/>
        </w:rPr>
        <w:t xml:space="preserve"> (investment advisers). </w:t>
      </w:r>
    </w:p>
    <w:p w:rsidR="006102E5" w:rsidRPr="00F61386" w:rsidRDefault="006102E5" w:rsidP="006102E5">
      <w:pPr>
        <w:pStyle w:val="ListParagraph"/>
        <w:numPr>
          <w:ilvl w:val="3"/>
          <w:numId w:val="1"/>
        </w:numPr>
        <w:rPr>
          <w:rFonts w:ascii="Tw Cen MT" w:hAnsi="Tw Cen MT" w:cs="Times New Roman"/>
          <w:sz w:val="24"/>
          <w:szCs w:val="24"/>
        </w:rPr>
      </w:pPr>
      <w:r w:rsidRPr="00F61386">
        <w:rPr>
          <w:rFonts w:ascii="Tw Cen MT" w:hAnsi="Tw Cen MT" w:cs="Times New Roman"/>
          <w:sz w:val="24"/>
          <w:szCs w:val="24"/>
        </w:rPr>
        <w:t>Requirements to maintain policies and procedures designed to avoid the misuse of materi</w:t>
      </w:r>
      <w:r w:rsidR="00BE6755" w:rsidRPr="00F61386">
        <w:rPr>
          <w:rFonts w:ascii="Tw Cen MT" w:hAnsi="Tw Cen MT" w:cs="Times New Roman"/>
          <w:sz w:val="24"/>
          <w:szCs w:val="24"/>
        </w:rPr>
        <w:t>al, nonpublic information (</w:t>
      </w:r>
      <w:r w:rsidRPr="00F61386">
        <w:rPr>
          <w:rFonts w:ascii="Tw Cen MT" w:hAnsi="Tw Cen MT" w:cs="Times New Roman"/>
          <w:sz w:val="24"/>
          <w:szCs w:val="24"/>
        </w:rPr>
        <w:t>Section 15(g) of the Exchange Act</w:t>
      </w:r>
      <w:r w:rsidR="00BE6755" w:rsidRPr="00F61386">
        <w:rPr>
          <w:rFonts w:ascii="Tw Cen MT" w:hAnsi="Tw Cen MT" w:cs="Times New Roman"/>
          <w:sz w:val="24"/>
          <w:szCs w:val="24"/>
        </w:rPr>
        <w:t>)</w:t>
      </w:r>
      <w:r w:rsidRPr="00F61386">
        <w:rPr>
          <w:rFonts w:ascii="Tw Cen MT" w:hAnsi="Tw Cen MT" w:cs="Times New Roman"/>
          <w:sz w:val="24"/>
          <w:szCs w:val="24"/>
        </w:rPr>
        <w:t xml:space="preserve"> and </w:t>
      </w:r>
      <w:r w:rsidR="00BE6755" w:rsidRPr="00F61386">
        <w:rPr>
          <w:rFonts w:ascii="Tw Cen MT" w:hAnsi="Tw Cen MT" w:cs="Times New Roman"/>
          <w:sz w:val="24"/>
          <w:szCs w:val="24"/>
        </w:rPr>
        <w:t>all investment adviser violations (</w:t>
      </w:r>
      <w:r w:rsidRPr="00F61386">
        <w:rPr>
          <w:rFonts w:ascii="Tw Cen MT" w:hAnsi="Tw Cen MT" w:cs="Times New Roman"/>
          <w:sz w:val="24"/>
          <w:szCs w:val="24"/>
        </w:rPr>
        <w:t>Section 204A of the Advisers Act</w:t>
      </w:r>
      <w:r w:rsidR="00BE6755" w:rsidRPr="00F61386">
        <w:rPr>
          <w:rFonts w:ascii="Tw Cen MT" w:hAnsi="Tw Cen MT" w:cs="Times New Roman"/>
          <w:sz w:val="24"/>
          <w:szCs w:val="24"/>
        </w:rPr>
        <w:t>)</w:t>
      </w:r>
      <w:r w:rsidRPr="00F61386">
        <w:rPr>
          <w:rFonts w:ascii="Tw Cen MT" w:hAnsi="Tw Cen MT" w:cs="Times New Roman"/>
          <w:sz w:val="24"/>
          <w:szCs w:val="24"/>
        </w:rPr>
        <w:t>.</w:t>
      </w:r>
    </w:p>
    <w:p w:rsidR="00A73D2A" w:rsidRPr="00F61386" w:rsidRDefault="006B3FA1" w:rsidP="006102E5">
      <w:pPr>
        <w:pStyle w:val="ListParagraph"/>
        <w:numPr>
          <w:ilvl w:val="3"/>
          <w:numId w:val="1"/>
        </w:numPr>
        <w:rPr>
          <w:rFonts w:ascii="Tw Cen MT" w:hAnsi="Tw Cen MT" w:cs="Times New Roman"/>
          <w:sz w:val="24"/>
          <w:szCs w:val="24"/>
        </w:rPr>
      </w:pPr>
      <w:r w:rsidRPr="00F61386">
        <w:rPr>
          <w:rFonts w:ascii="Tw Cen MT" w:hAnsi="Tw Cen MT"/>
          <w:sz w:val="24"/>
          <w:szCs w:val="24"/>
        </w:rPr>
        <w:t xml:space="preserve">And, under </w:t>
      </w:r>
      <w:r w:rsidR="00A73D2A" w:rsidRPr="00F61386">
        <w:rPr>
          <w:rFonts w:ascii="Tw Cen MT" w:hAnsi="Tw Cen MT"/>
          <w:sz w:val="24"/>
          <w:szCs w:val="24"/>
        </w:rPr>
        <w:t>FINRA</w:t>
      </w:r>
      <w:r w:rsidRPr="00F61386">
        <w:rPr>
          <w:rFonts w:ascii="Tw Cen MT" w:hAnsi="Tw Cen MT"/>
          <w:sz w:val="24"/>
          <w:szCs w:val="24"/>
        </w:rPr>
        <w:t xml:space="preserve"> Rule 3</w:t>
      </w:r>
      <w:r w:rsidR="00A73D2A" w:rsidRPr="00F61386">
        <w:rPr>
          <w:rFonts w:ascii="Tw Cen MT" w:hAnsi="Tw Cen MT"/>
          <w:sz w:val="24"/>
          <w:szCs w:val="24"/>
        </w:rPr>
        <w:t>110</w:t>
      </w:r>
      <w:r w:rsidRPr="00F61386">
        <w:rPr>
          <w:rFonts w:ascii="Tw Cen MT" w:hAnsi="Tw Cen MT"/>
          <w:sz w:val="24"/>
          <w:szCs w:val="24"/>
        </w:rPr>
        <w:t>, FINRA member firms must establish, maintain, and enforce written supervisory control policies and procedures.</w:t>
      </w:r>
      <w:r w:rsidR="00A73D2A" w:rsidRPr="00F61386">
        <w:rPr>
          <w:rFonts w:ascii="Tw Cen MT" w:hAnsi="Tw Cen MT"/>
          <w:sz w:val="24"/>
          <w:szCs w:val="24"/>
        </w:rPr>
        <w:t xml:space="preserve"> </w:t>
      </w:r>
    </w:p>
    <w:p w:rsidR="00A73D2A" w:rsidRPr="00F61386" w:rsidRDefault="00A73D2A" w:rsidP="00A73D2A">
      <w:pPr>
        <w:pStyle w:val="ListParagraph"/>
        <w:ind w:left="2160"/>
        <w:rPr>
          <w:rFonts w:ascii="Tw Cen MT" w:hAnsi="Tw Cen MT" w:cs="Times New Roman"/>
          <w:sz w:val="24"/>
          <w:szCs w:val="24"/>
        </w:rPr>
      </w:pPr>
    </w:p>
    <w:p w:rsidR="00A73D2A" w:rsidRPr="00F61386" w:rsidRDefault="006B3FA1" w:rsidP="00A73D2A">
      <w:pPr>
        <w:pStyle w:val="ListParagraph"/>
        <w:numPr>
          <w:ilvl w:val="2"/>
          <w:numId w:val="1"/>
        </w:numPr>
        <w:rPr>
          <w:rFonts w:ascii="Tw Cen MT" w:hAnsi="Tw Cen MT" w:cs="Times New Roman"/>
          <w:sz w:val="24"/>
          <w:szCs w:val="24"/>
        </w:rPr>
      </w:pPr>
      <w:r w:rsidRPr="00F61386">
        <w:rPr>
          <w:rFonts w:ascii="Tw Cen MT" w:hAnsi="Tw Cen MT"/>
          <w:sz w:val="24"/>
          <w:szCs w:val="24"/>
        </w:rPr>
        <w:t>Creating an atmosphere in which employees understand that they are to rigorously adhere to the law</w:t>
      </w:r>
      <w:r w:rsidR="00A73D2A" w:rsidRPr="00F61386">
        <w:rPr>
          <w:rFonts w:ascii="Tw Cen MT" w:hAnsi="Tw Cen MT"/>
          <w:sz w:val="24"/>
          <w:szCs w:val="24"/>
        </w:rPr>
        <w:t xml:space="preserve"> and</w:t>
      </w:r>
      <w:r w:rsidRPr="00F61386">
        <w:rPr>
          <w:rFonts w:ascii="Tw Cen MT" w:hAnsi="Tw Cen MT"/>
          <w:sz w:val="24"/>
          <w:szCs w:val="24"/>
        </w:rPr>
        <w:t xml:space="preserve"> company rules, and </w:t>
      </w:r>
      <w:r w:rsidR="00A73D2A" w:rsidRPr="00F61386">
        <w:rPr>
          <w:rFonts w:ascii="Tw Cen MT" w:hAnsi="Tw Cen MT"/>
          <w:sz w:val="24"/>
          <w:szCs w:val="24"/>
        </w:rPr>
        <w:t xml:space="preserve">promptly </w:t>
      </w:r>
      <w:r w:rsidRPr="00F61386">
        <w:rPr>
          <w:rFonts w:ascii="Tw Cen MT" w:hAnsi="Tw Cen MT"/>
          <w:sz w:val="24"/>
          <w:szCs w:val="24"/>
        </w:rPr>
        <w:t>report potential misconduct</w:t>
      </w:r>
      <w:r w:rsidR="003A0280" w:rsidRPr="00F61386">
        <w:rPr>
          <w:rFonts w:ascii="Tw Cen MT" w:hAnsi="Tw Cen MT"/>
          <w:sz w:val="24"/>
          <w:szCs w:val="24"/>
        </w:rPr>
        <w:t>,</w:t>
      </w:r>
      <w:r w:rsidRPr="00F61386">
        <w:rPr>
          <w:rFonts w:ascii="Tw Cen MT" w:hAnsi="Tw Cen MT"/>
          <w:sz w:val="24"/>
          <w:szCs w:val="24"/>
        </w:rPr>
        <w:t xml:space="preserve"> will </w:t>
      </w:r>
      <w:r w:rsidR="00A73D2A" w:rsidRPr="00F61386">
        <w:rPr>
          <w:rFonts w:ascii="Tw Cen MT" w:hAnsi="Tw Cen MT"/>
          <w:sz w:val="24"/>
          <w:szCs w:val="24"/>
        </w:rPr>
        <w:t xml:space="preserve">greatly </w:t>
      </w:r>
      <w:r w:rsidRPr="00F61386">
        <w:rPr>
          <w:rFonts w:ascii="Tw Cen MT" w:hAnsi="Tw Cen MT"/>
          <w:sz w:val="24"/>
          <w:szCs w:val="24"/>
        </w:rPr>
        <w:t>alleviate ma</w:t>
      </w:r>
      <w:r w:rsidR="00F961A3" w:rsidRPr="00F61386">
        <w:rPr>
          <w:rFonts w:ascii="Tw Cen MT" w:hAnsi="Tw Cen MT"/>
          <w:sz w:val="24"/>
          <w:szCs w:val="24"/>
        </w:rPr>
        <w:t>ny of the issues raised here</w:t>
      </w:r>
      <w:r w:rsidRPr="00F61386">
        <w:rPr>
          <w:rFonts w:ascii="Tw Cen MT" w:hAnsi="Tw Cen MT"/>
          <w:sz w:val="24"/>
          <w:szCs w:val="24"/>
        </w:rPr>
        <w:t>.</w:t>
      </w:r>
    </w:p>
    <w:p w:rsidR="00F961A3" w:rsidRPr="00F61386" w:rsidRDefault="00F961A3" w:rsidP="00F961A3">
      <w:pPr>
        <w:pStyle w:val="ListParagraph"/>
        <w:rPr>
          <w:rFonts w:ascii="Tw Cen MT" w:hAnsi="Tw Cen MT" w:cs="Times New Roman"/>
          <w:sz w:val="24"/>
          <w:szCs w:val="24"/>
        </w:rPr>
      </w:pPr>
    </w:p>
    <w:p w:rsidR="005D59D9" w:rsidRPr="00F61386" w:rsidRDefault="006B3FA1" w:rsidP="00A73D2A">
      <w:pPr>
        <w:pStyle w:val="ListParagraph"/>
        <w:numPr>
          <w:ilvl w:val="2"/>
          <w:numId w:val="1"/>
        </w:numPr>
        <w:rPr>
          <w:rFonts w:ascii="Tw Cen MT" w:hAnsi="Tw Cen MT" w:cs="Times New Roman"/>
          <w:sz w:val="24"/>
          <w:szCs w:val="24"/>
        </w:rPr>
      </w:pPr>
      <w:r w:rsidRPr="00F61386">
        <w:rPr>
          <w:rFonts w:ascii="Tw Cen MT" w:hAnsi="Tw Cen MT"/>
          <w:sz w:val="24"/>
          <w:szCs w:val="24"/>
        </w:rPr>
        <w:t xml:space="preserve">In the event of an enforcement investigation, the company’s compliance culture and the efficacy of its compliance programs are also important </w:t>
      </w:r>
      <w:r w:rsidR="003A0280" w:rsidRPr="00F61386">
        <w:rPr>
          <w:rFonts w:ascii="Tw Cen MT" w:hAnsi="Tw Cen MT"/>
          <w:sz w:val="24"/>
          <w:szCs w:val="24"/>
        </w:rPr>
        <w:t>factors</w:t>
      </w:r>
      <w:r w:rsidRPr="00F61386">
        <w:rPr>
          <w:rFonts w:ascii="Tw Cen MT" w:hAnsi="Tw Cen MT"/>
          <w:sz w:val="24"/>
          <w:szCs w:val="24"/>
        </w:rPr>
        <w:t xml:space="preserve"> in whether a firm will be sanctioned and the na</w:t>
      </w:r>
      <w:r w:rsidR="00F43C5C" w:rsidRPr="00F61386">
        <w:rPr>
          <w:rFonts w:ascii="Tw Cen MT" w:hAnsi="Tw Cen MT"/>
          <w:sz w:val="24"/>
          <w:szCs w:val="24"/>
        </w:rPr>
        <w:t xml:space="preserve">ture of any sanction imposed.  </w:t>
      </w:r>
    </w:p>
    <w:p w:rsidR="005D59D9" w:rsidRPr="00F61386" w:rsidRDefault="005D59D9" w:rsidP="005D59D9">
      <w:pPr>
        <w:pStyle w:val="ListParagraph"/>
        <w:rPr>
          <w:rFonts w:ascii="Tw Cen MT" w:hAnsi="Tw Cen MT"/>
          <w:i/>
          <w:sz w:val="24"/>
          <w:szCs w:val="24"/>
        </w:rPr>
      </w:pPr>
    </w:p>
    <w:p w:rsidR="005D59D9" w:rsidRPr="00F61386" w:rsidRDefault="00F43C5C" w:rsidP="005D59D9">
      <w:pPr>
        <w:pStyle w:val="ListParagraph"/>
        <w:numPr>
          <w:ilvl w:val="3"/>
          <w:numId w:val="1"/>
        </w:numPr>
        <w:rPr>
          <w:rFonts w:ascii="Tw Cen MT" w:hAnsi="Tw Cen MT" w:cs="Times New Roman"/>
          <w:sz w:val="24"/>
          <w:szCs w:val="24"/>
        </w:rPr>
      </w:pPr>
      <w:r w:rsidRPr="00F61386">
        <w:rPr>
          <w:rFonts w:ascii="Tw Cen MT" w:hAnsi="Tw Cen MT"/>
          <w:i/>
          <w:sz w:val="24"/>
          <w:szCs w:val="24"/>
        </w:rPr>
        <w:t>See</w:t>
      </w:r>
      <w:r w:rsidRPr="00F61386">
        <w:rPr>
          <w:rFonts w:ascii="Tw Cen MT" w:hAnsi="Tw Cen MT"/>
          <w:sz w:val="24"/>
          <w:szCs w:val="24"/>
        </w:rPr>
        <w:t xml:space="preserve"> Report of Investigation Pursuant to Section 21(a) of the Securities Exchange Act of 1934 and Commission Statement on the Relationship of Cooperation to Agency Enforcement Decisions, Exchange Act Release No. 44,969 (Oct. 23, 2001) (“Seaboard” Report); </w:t>
      </w:r>
    </w:p>
    <w:p w:rsidR="005D59D9" w:rsidRPr="00F61386" w:rsidRDefault="00F43C5C" w:rsidP="005D59D9">
      <w:pPr>
        <w:pStyle w:val="ListParagraph"/>
        <w:numPr>
          <w:ilvl w:val="3"/>
          <w:numId w:val="1"/>
        </w:numPr>
        <w:rPr>
          <w:rFonts w:ascii="Tw Cen MT" w:hAnsi="Tw Cen MT" w:cs="Times New Roman"/>
          <w:sz w:val="24"/>
          <w:szCs w:val="24"/>
        </w:rPr>
      </w:pPr>
      <w:r w:rsidRPr="00F61386">
        <w:rPr>
          <w:rFonts w:ascii="Tw Cen MT" w:hAnsi="Tw Cen MT"/>
          <w:sz w:val="24"/>
          <w:szCs w:val="24"/>
        </w:rPr>
        <w:t>U.S. Sentencing Guidelines Manual § 8C2.5(f)(2)</w:t>
      </w:r>
      <w:r w:rsidR="005D59D9" w:rsidRPr="00F61386">
        <w:rPr>
          <w:rFonts w:ascii="Tw Cen MT" w:hAnsi="Tw Cen MT"/>
          <w:sz w:val="24"/>
          <w:szCs w:val="24"/>
        </w:rPr>
        <w:t xml:space="preserve"> (credit for an effective compliance program)</w:t>
      </w:r>
    </w:p>
    <w:p w:rsidR="005D59D9" w:rsidRPr="00F61386" w:rsidRDefault="00FB6E7C" w:rsidP="005D59D9">
      <w:pPr>
        <w:pStyle w:val="ListParagraph"/>
        <w:numPr>
          <w:ilvl w:val="3"/>
          <w:numId w:val="1"/>
        </w:numPr>
        <w:rPr>
          <w:rFonts w:ascii="Tw Cen MT" w:hAnsi="Tw Cen MT" w:cs="Times New Roman"/>
          <w:sz w:val="24"/>
          <w:szCs w:val="24"/>
        </w:rPr>
      </w:pPr>
      <w:r w:rsidRPr="00F61386">
        <w:rPr>
          <w:rFonts w:ascii="Tw Cen MT" w:hAnsi="Tw Cen MT" w:cs="Times New Roman"/>
          <w:sz w:val="24"/>
          <w:szCs w:val="24"/>
        </w:rPr>
        <w:t>In September, the</w:t>
      </w:r>
      <w:r w:rsidR="005D59D9" w:rsidRPr="00F61386">
        <w:rPr>
          <w:rFonts w:ascii="Tw Cen MT" w:hAnsi="Tw Cen MT" w:cs="Times New Roman"/>
          <w:sz w:val="24"/>
          <w:szCs w:val="24"/>
        </w:rPr>
        <w:t xml:space="preserve"> Justice Department hired Hui Chen, the former head of anti-bribery and corruption compliance at Standard Chartered, as its new compliance counsel.</w:t>
      </w:r>
    </w:p>
    <w:p w:rsidR="00F43C5C" w:rsidRPr="00F61386" w:rsidRDefault="00F43C5C" w:rsidP="00F43C5C">
      <w:pPr>
        <w:pStyle w:val="ListParagraph"/>
        <w:ind w:left="2160"/>
        <w:rPr>
          <w:rFonts w:ascii="Tw Cen MT" w:hAnsi="Tw Cen MT" w:cs="Times New Roman"/>
          <w:sz w:val="24"/>
          <w:szCs w:val="24"/>
        </w:rPr>
      </w:pPr>
    </w:p>
    <w:p w:rsidR="00BD4F95" w:rsidRPr="00F61386" w:rsidRDefault="00BD4F95" w:rsidP="003834DD">
      <w:pPr>
        <w:pStyle w:val="ListParagraph"/>
        <w:numPr>
          <w:ilvl w:val="2"/>
          <w:numId w:val="1"/>
        </w:numPr>
        <w:rPr>
          <w:rFonts w:ascii="Tw Cen MT" w:hAnsi="Tw Cen MT" w:cs="Times New Roman"/>
          <w:sz w:val="24"/>
          <w:szCs w:val="24"/>
        </w:rPr>
      </w:pPr>
      <w:r w:rsidRPr="00F61386">
        <w:rPr>
          <w:rFonts w:ascii="Tw Cen MT" w:hAnsi="Tw Cen MT"/>
          <w:sz w:val="24"/>
          <w:szCs w:val="24"/>
        </w:rPr>
        <w:t>Promoting</w:t>
      </w:r>
      <w:r w:rsidR="006B3FA1" w:rsidRPr="00F61386">
        <w:rPr>
          <w:rFonts w:ascii="Tw Cen MT" w:hAnsi="Tw Cen MT"/>
          <w:sz w:val="24"/>
          <w:szCs w:val="24"/>
        </w:rPr>
        <w:t xml:space="preserve"> Compliance </w:t>
      </w:r>
      <w:r w:rsidR="00F43C5C" w:rsidRPr="00F61386">
        <w:rPr>
          <w:rFonts w:ascii="Tw Cen MT" w:hAnsi="Tw Cen MT"/>
          <w:sz w:val="24"/>
          <w:szCs w:val="24"/>
        </w:rPr>
        <w:t>–</w:t>
      </w:r>
      <w:r w:rsidR="006B3FA1" w:rsidRPr="00F61386">
        <w:rPr>
          <w:rFonts w:ascii="Tw Cen MT" w:hAnsi="Tw Cen MT"/>
          <w:sz w:val="24"/>
          <w:szCs w:val="24"/>
        </w:rPr>
        <w:t xml:space="preserve"> </w:t>
      </w:r>
      <w:r w:rsidR="00F43C5C" w:rsidRPr="00F61386">
        <w:rPr>
          <w:rFonts w:ascii="Tw Cen MT" w:hAnsi="Tw Cen MT"/>
          <w:sz w:val="24"/>
          <w:szCs w:val="24"/>
        </w:rPr>
        <w:t>C</w:t>
      </w:r>
      <w:r w:rsidR="006B3FA1" w:rsidRPr="00F61386">
        <w:rPr>
          <w:rFonts w:ascii="Tw Cen MT" w:hAnsi="Tw Cen MT"/>
          <w:sz w:val="24"/>
          <w:szCs w:val="24"/>
        </w:rPr>
        <w:t xml:space="preserve">onsider </w:t>
      </w:r>
      <w:r w:rsidR="00F43C5C" w:rsidRPr="00F61386">
        <w:rPr>
          <w:rFonts w:ascii="Tw Cen MT" w:hAnsi="Tw Cen MT"/>
          <w:sz w:val="24"/>
          <w:szCs w:val="24"/>
        </w:rPr>
        <w:t>whether you</w:t>
      </w:r>
      <w:r w:rsidR="006B3FA1" w:rsidRPr="00F61386">
        <w:rPr>
          <w:rFonts w:ascii="Tw Cen MT" w:hAnsi="Tw Cen MT"/>
          <w:sz w:val="24"/>
          <w:szCs w:val="24"/>
        </w:rPr>
        <w:t xml:space="preserve"> have an environment that encourages employees to prevent wrongdoing and speak</w:t>
      </w:r>
      <w:r w:rsidRPr="00F61386">
        <w:rPr>
          <w:rFonts w:ascii="Tw Cen MT" w:hAnsi="Tw Cen MT"/>
          <w:sz w:val="24"/>
          <w:szCs w:val="24"/>
        </w:rPr>
        <w:t xml:space="preserve"> up when they see it</w:t>
      </w:r>
      <w:r w:rsidR="006B3FA1" w:rsidRPr="00F61386">
        <w:rPr>
          <w:rFonts w:ascii="Tw Cen MT" w:hAnsi="Tw Cen MT"/>
          <w:sz w:val="24"/>
          <w:szCs w:val="24"/>
        </w:rPr>
        <w:t>.</w:t>
      </w:r>
    </w:p>
    <w:p w:rsidR="003A0280" w:rsidRPr="00F61386" w:rsidRDefault="003A0280" w:rsidP="00BD4F95">
      <w:pPr>
        <w:pStyle w:val="ListParagraph"/>
        <w:ind w:left="2160"/>
        <w:rPr>
          <w:rFonts w:ascii="Tw Cen MT" w:hAnsi="Tw Cen MT" w:cs="Times New Roman"/>
          <w:sz w:val="24"/>
          <w:szCs w:val="24"/>
        </w:rPr>
      </w:pPr>
    </w:p>
    <w:p w:rsidR="00C40482" w:rsidRPr="00F61386" w:rsidRDefault="006B3FA1" w:rsidP="00562922">
      <w:pPr>
        <w:pStyle w:val="ListParagraph"/>
        <w:numPr>
          <w:ilvl w:val="2"/>
          <w:numId w:val="1"/>
        </w:numPr>
        <w:rPr>
          <w:rFonts w:ascii="Tw Cen MT" w:hAnsi="Tw Cen MT" w:cs="Times New Roman"/>
          <w:sz w:val="24"/>
          <w:szCs w:val="24"/>
        </w:rPr>
      </w:pPr>
      <w:r w:rsidRPr="00F61386">
        <w:rPr>
          <w:rFonts w:ascii="Tw Cen MT" w:hAnsi="Tw Cen MT"/>
          <w:b/>
          <w:sz w:val="24"/>
          <w:szCs w:val="24"/>
        </w:rPr>
        <w:t>Codes of Conduct and Training</w:t>
      </w:r>
      <w:r w:rsidR="00C40482" w:rsidRPr="00F61386">
        <w:rPr>
          <w:rFonts w:ascii="Tw Cen MT" w:hAnsi="Tw Cen MT"/>
          <w:sz w:val="24"/>
          <w:szCs w:val="24"/>
        </w:rPr>
        <w:t xml:space="preserve"> </w:t>
      </w:r>
    </w:p>
    <w:p w:rsidR="00C40482" w:rsidRPr="00F61386" w:rsidRDefault="00C40482" w:rsidP="00C40482">
      <w:pPr>
        <w:pStyle w:val="ListParagraph"/>
        <w:rPr>
          <w:rFonts w:ascii="Tw Cen MT" w:hAnsi="Tw Cen MT"/>
          <w:sz w:val="24"/>
          <w:szCs w:val="24"/>
        </w:rPr>
      </w:pPr>
    </w:p>
    <w:p w:rsidR="00C40482" w:rsidRPr="00F61386" w:rsidRDefault="00C40482" w:rsidP="00C40482">
      <w:pPr>
        <w:pStyle w:val="ListParagraph"/>
        <w:numPr>
          <w:ilvl w:val="3"/>
          <w:numId w:val="1"/>
        </w:numPr>
        <w:rPr>
          <w:rFonts w:ascii="Tw Cen MT" w:hAnsi="Tw Cen MT" w:cs="Times New Roman"/>
          <w:sz w:val="24"/>
          <w:szCs w:val="24"/>
        </w:rPr>
      </w:pPr>
      <w:r w:rsidRPr="00F61386">
        <w:rPr>
          <w:rFonts w:ascii="Tw Cen MT" w:hAnsi="Tw Cen MT"/>
          <w:sz w:val="24"/>
          <w:szCs w:val="24"/>
        </w:rPr>
        <w:t>Sarbanes-Oxley Section 406 all but requires a code of conduct.</w:t>
      </w:r>
    </w:p>
    <w:p w:rsidR="00C40482" w:rsidRPr="00F61386" w:rsidRDefault="00C40482" w:rsidP="00C40482">
      <w:pPr>
        <w:pStyle w:val="ListParagraph"/>
        <w:numPr>
          <w:ilvl w:val="3"/>
          <w:numId w:val="1"/>
        </w:numPr>
        <w:rPr>
          <w:rFonts w:ascii="Tw Cen MT" w:hAnsi="Tw Cen MT" w:cs="Times New Roman"/>
          <w:sz w:val="24"/>
          <w:szCs w:val="24"/>
        </w:rPr>
      </w:pPr>
      <w:r w:rsidRPr="00F61386">
        <w:rPr>
          <w:rFonts w:ascii="Tw Cen MT" w:hAnsi="Tw Cen MT"/>
          <w:sz w:val="24"/>
          <w:szCs w:val="24"/>
        </w:rPr>
        <w:lastRenderedPageBreak/>
        <w:t xml:space="preserve">The listing standards for the NYSE and NASDAQ have express requirements.  </w:t>
      </w:r>
      <w:r w:rsidRPr="00F61386">
        <w:rPr>
          <w:rFonts w:ascii="Tw Cen MT" w:hAnsi="Tw Cen MT"/>
          <w:i/>
          <w:sz w:val="24"/>
          <w:szCs w:val="24"/>
        </w:rPr>
        <w:t>See</w:t>
      </w:r>
      <w:r w:rsidRPr="00F61386">
        <w:rPr>
          <w:rFonts w:ascii="Tw Cen MT" w:hAnsi="Tw Cen MT"/>
          <w:sz w:val="24"/>
          <w:szCs w:val="24"/>
        </w:rPr>
        <w:t xml:space="preserve"> NYSE Listed Company Manual § 303A.10; NASDAQ Corporate Governance Requirements § 5610.</w:t>
      </w:r>
    </w:p>
    <w:p w:rsidR="00C40482" w:rsidRPr="00F61386" w:rsidRDefault="006B3FA1" w:rsidP="00C40482">
      <w:pPr>
        <w:pStyle w:val="ListParagraph"/>
        <w:numPr>
          <w:ilvl w:val="3"/>
          <w:numId w:val="1"/>
        </w:numPr>
        <w:rPr>
          <w:rFonts w:ascii="Tw Cen MT" w:hAnsi="Tw Cen MT" w:cs="Times New Roman"/>
          <w:sz w:val="24"/>
          <w:szCs w:val="24"/>
        </w:rPr>
      </w:pPr>
      <w:r w:rsidRPr="00F61386">
        <w:rPr>
          <w:rFonts w:ascii="Tw Cen MT" w:hAnsi="Tw Cen MT"/>
          <w:sz w:val="24"/>
          <w:szCs w:val="24"/>
        </w:rPr>
        <w:t>Broker-dealers</w:t>
      </w:r>
      <w:r w:rsidR="00BD4F95" w:rsidRPr="00F61386">
        <w:rPr>
          <w:rFonts w:ascii="Tw Cen MT" w:hAnsi="Tw Cen MT"/>
          <w:sz w:val="24"/>
          <w:szCs w:val="24"/>
        </w:rPr>
        <w:t>, investment advisers, and</w:t>
      </w:r>
      <w:r w:rsidRPr="00F61386">
        <w:rPr>
          <w:rFonts w:ascii="Tw Cen MT" w:hAnsi="Tw Cen MT"/>
          <w:sz w:val="24"/>
          <w:szCs w:val="24"/>
        </w:rPr>
        <w:t xml:space="preserve"> other regulated </w:t>
      </w:r>
      <w:r w:rsidR="00BD4F95" w:rsidRPr="00F61386">
        <w:rPr>
          <w:rFonts w:ascii="Tw Cen MT" w:hAnsi="Tw Cen MT"/>
          <w:sz w:val="24"/>
          <w:szCs w:val="24"/>
        </w:rPr>
        <w:t xml:space="preserve">entities </w:t>
      </w:r>
      <w:r w:rsidRPr="00F61386">
        <w:rPr>
          <w:rFonts w:ascii="Tw Cen MT" w:hAnsi="Tw Cen MT"/>
          <w:sz w:val="24"/>
          <w:szCs w:val="24"/>
        </w:rPr>
        <w:t>are required to have written policies and procedures governing compliance matters, supervision, and o</w:t>
      </w:r>
      <w:r w:rsidR="00C40482" w:rsidRPr="00F61386">
        <w:rPr>
          <w:rFonts w:ascii="Tw Cen MT" w:hAnsi="Tw Cen MT"/>
          <w:sz w:val="24"/>
          <w:szCs w:val="24"/>
        </w:rPr>
        <w:t>ther aspects of their business.</w:t>
      </w:r>
    </w:p>
    <w:p w:rsidR="00BD4F95" w:rsidRPr="00F61386" w:rsidRDefault="006B3FA1" w:rsidP="00C40482">
      <w:pPr>
        <w:pStyle w:val="ListParagraph"/>
        <w:ind w:left="2880"/>
        <w:rPr>
          <w:rFonts w:ascii="Tw Cen MT" w:hAnsi="Tw Cen MT" w:cs="Times New Roman"/>
          <w:sz w:val="24"/>
          <w:szCs w:val="24"/>
        </w:rPr>
      </w:pPr>
      <w:r w:rsidRPr="00F61386">
        <w:rPr>
          <w:rFonts w:ascii="Tw Cen MT" w:hAnsi="Tw Cen MT"/>
          <w:sz w:val="24"/>
          <w:szCs w:val="24"/>
        </w:rPr>
        <w:t xml:space="preserve"> </w:t>
      </w:r>
    </w:p>
    <w:p w:rsidR="00C40482" w:rsidRPr="00F61386" w:rsidRDefault="00C40482" w:rsidP="00BD4F95">
      <w:pPr>
        <w:pStyle w:val="ListParagraph"/>
        <w:numPr>
          <w:ilvl w:val="3"/>
          <w:numId w:val="1"/>
        </w:numPr>
        <w:rPr>
          <w:rFonts w:ascii="Tw Cen MT" w:hAnsi="Tw Cen MT" w:cs="Times New Roman"/>
          <w:sz w:val="24"/>
          <w:szCs w:val="24"/>
        </w:rPr>
      </w:pPr>
      <w:r w:rsidRPr="00F61386">
        <w:rPr>
          <w:rFonts w:ascii="Tw Cen MT" w:hAnsi="Tw Cen MT"/>
          <w:sz w:val="24"/>
          <w:szCs w:val="24"/>
        </w:rPr>
        <w:t>What to do with them?</w:t>
      </w:r>
    </w:p>
    <w:p w:rsidR="00C40482" w:rsidRPr="00F61386" w:rsidRDefault="00C40482" w:rsidP="00C40482">
      <w:pPr>
        <w:pStyle w:val="ListParagraph"/>
        <w:rPr>
          <w:rFonts w:ascii="Tw Cen MT" w:hAnsi="Tw Cen MT"/>
          <w:sz w:val="24"/>
          <w:szCs w:val="24"/>
        </w:rPr>
      </w:pPr>
    </w:p>
    <w:p w:rsidR="00BD4F95" w:rsidRPr="00F61386" w:rsidRDefault="006B3FA1" w:rsidP="00C40482">
      <w:pPr>
        <w:pStyle w:val="ListParagraph"/>
        <w:numPr>
          <w:ilvl w:val="4"/>
          <w:numId w:val="1"/>
        </w:numPr>
        <w:rPr>
          <w:rFonts w:ascii="Tw Cen MT" w:hAnsi="Tw Cen MT" w:cs="Times New Roman"/>
          <w:sz w:val="24"/>
          <w:szCs w:val="24"/>
        </w:rPr>
      </w:pPr>
      <w:r w:rsidRPr="00F61386">
        <w:rPr>
          <w:rFonts w:ascii="Tw Cen MT" w:hAnsi="Tw Cen MT"/>
          <w:sz w:val="24"/>
          <w:szCs w:val="24"/>
        </w:rPr>
        <w:t xml:space="preserve">Companies should periodically review their codes of conduct and WSPs to see if any changes are appropriate, particularly with respect to encouraging communications between employees and compliance personnel. </w:t>
      </w:r>
    </w:p>
    <w:p w:rsidR="00BD4F95" w:rsidRPr="00F61386" w:rsidRDefault="000B2065" w:rsidP="00C40482">
      <w:pPr>
        <w:pStyle w:val="ListParagraph"/>
        <w:numPr>
          <w:ilvl w:val="4"/>
          <w:numId w:val="1"/>
        </w:numPr>
        <w:rPr>
          <w:rFonts w:ascii="Tw Cen MT" w:hAnsi="Tw Cen MT" w:cs="Times New Roman"/>
          <w:sz w:val="24"/>
          <w:szCs w:val="24"/>
        </w:rPr>
      </w:pPr>
      <w:r w:rsidRPr="00F61386">
        <w:rPr>
          <w:rFonts w:ascii="Tw Cen MT" w:hAnsi="Tw Cen MT"/>
          <w:sz w:val="24"/>
          <w:szCs w:val="24"/>
        </w:rPr>
        <w:t>Deliver</w:t>
      </w:r>
      <w:r w:rsidR="006B3FA1" w:rsidRPr="00F61386">
        <w:rPr>
          <w:rFonts w:ascii="Tw Cen MT" w:hAnsi="Tw Cen MT"/>
          <w:sz w:val="24"/>
          <w:szCs w:val="24"/>
        </w:rPr>
        <w:t xml:space="preserve"> codes of conduct to all employees and make them available </w:t>
      </w:r>
      <w:r w:rsidR="005D59D9" w:rsidRPr="00F61386">
        <w:rPr>
          <w:rFonts w:ascii="Tw Cen MT" w:hAnsi="Tw Cen MT"/>
          <w:sz w:val="24"/>
          <w:szCs w:val="24"/>
        </w:rPr>
        <w:t>online and in multiple languages</w:t>
      </w:r>
      <w:r w:rsidR="006B3FA1" w:rsidRPr="00F61386">
        <w:rPr>
          <w:rFonts w:ascii="Tw Cen MT" w:hAnsi="Tw Cen MT"/>
          <w:sz w:val="24"/>
          <w:szCs w:val="24"/>
        </w:rPr>
        <w:t xml:space="preserve">. </w:t>
      </w:r>
    </w:p>
    <w:p w:rsidR="00BD4F95" w:rsidRPr="00F61386" w:rsidRDefault="005D59D9" w:rsidP="00C40482">
      <w:pPr>
        <w:pStyle w:val="ListParagraph"/>
        <w:numPr>
          <w:ilvl w:val="4"/>
          <w:numId w:val="1"/>
        </w:numPr>
        <w:rPr>
          <w:rFonts w:ascii="Tw Cen MT" w:hAnsi="Tw Cen MT" w:cs="Times New Roman"/>
          <w:sz w:val="24"/>
          <w:szCs w:val="24"/>
        </w:rPr>
      </w:pPr>
      <w:r w:rsidRPr="00F61386">
        <w:rPr>
          <w:rFonts w:ascii="Tw Cen MT" w:hAnsi="Tw Cen MT"/>
          <w:sz w:val="24"/>
          <w:szCs w:val="24"/>
        </w:rPr>
        <w:t xml:space="preserve">Give training </w:t>
      </w:r>
      <w:r w:rsidR="006B3FA1" w:rsidRPr="00F61386">
        <w:rPr>
          <w:rFonts w:ascii="Tw Cen MT" w:hAnsi="Tw Cen MT"/>
          <w:sz w:val="24"/>
          <w:szCs w:val="24"/>
        </w:rPr>
        <w:t xml:space="preserve">on the code of conduct or </w:t>
      </w:r>
      <w:r w:rsidRPr="00F61386">
        <w:rPr>
          <w:rFonts w:ascii="Tw Cen MT" w:hAnsi="Tw Cen MT"/>
          <w:sz w:val="24"/>
          <w:szCs w:val="24"/>
        </w:rPr>
        <w:t>upon hiring and periodically thereafter</w:t>
      </w:r>
      <w:r w:rsidR="006B3FA1" w:rsidRPr="00F61386">
        <w:rPr>
          <w:rFonts w:ascii="Tw Cen MT" w:hAnsi="Tw Cen MT"/>
          <w:sz w:val="24"/>
          <w:szCs w:val="24"/>
        </w:rPr>
        <w:t xml:space="preserve">. </w:t>
      </w:r>
    </w:p>
    <w:p w:rsidR="006B3FA1" w:rsidRPr="00FD13E7" w:rsidRDefault="005D59D9" w:rsidP="00C40482">
      <w:pPr>
        <w:pStyle w:val="ListParagraph"/>
        <w:numPr>
          <w:ilvl w:val="4"/>
          <w:numId w:val="1"/>
        </w:numPr>
        <w:rPr>
          <w:rFonts w:ascii="Tw Cen MT" w:hAnsi="Tw Cen MT" w:cs="Times New Roman"/>
          <w:sz w:val="24"/>
          <w:szCs w:val="24"/>
        </w:rPr>
      </w:pPr>
      <w:r w:rsidRPr="00F61386">
        <w:rPr>
          <w:rFonts w:ascii="Tw Cen MT" w:hAnsi="Tw Cen MT"/>
          <w:sz w:val="24"/>
          <w:szCs w:val="24"/>
        </w:rPr>
        <w:t xml:space="preserve">Require </w:t>
      </w:r>
      <w:r w:rsidR="006B3FA1" w:rsidRPr="00F61386">
        <w:rPr>
          <w:rFonts w:ascii="Tw Cen MT" w:hAnsi="Tw Cen MT"/>
          <w:sz w:val="24"/>
          <w:szCs w:val="24"/>
        </w:rPr>
        <w:t>employees to sign an annual certification s</w:t>
      </w:r>
      <w:r w:rsidRPr="00F61386">
        <w:rPr>
          <w:rFonts w:ascii="Tw Cen MT" w:hAnsi="Tw Cen MT"/>
          <w:sz w:val="24"/>
          <w:szCs w:val="24"/>
        </w:rPr>
        <w:t>aying they’</w:t>
      </w:r>
      <w:r w:rsidR="006B3FA1" w:rsidRPr="00F61386">
        <w:rPr>
          <w:rFonts w:ascii="Tw Cen MT" w:hAnsi="Tw Cen MT"/>
          <w:sz w:val="24"/>
          <w:szCs w:val="24"/>
        </w:rPr>
        <w:t xml:space="preserve">re familiar with the code of conduct and have received training on these topics. </w:t>
      </w:r>
      <w:r w:rsidR="00E04353" w:rsidRPr="00F61386">
        <w:rPr>
          <w:rFonts w:ascii="Tw Cen MT" w:hAnsi="Tw Cen MT"/>
          <w:sz w:val="24"/>
          <w:szCs w:val="24"/>
        </w:rPr>
        <w:t xml:space="preserve"> </w:t>
      </w:r>
      <w:r w:rsidR="006B3FA1" w:rsidRPr="00F61386">
        <w:rPr>
          <w:rFonts w:ascii="Tw Cen MT" w:hAnsi="Tw Cen MT"/>
          <w:sz w:val="24"/>
          <w:szCs w:val="24"/>
        </w:rPr>
        <w:t xml:space="preserve">FINRA Rule 3010(a)(7) requires </w:t>
      </w:r>
      <w:r w:rsidR="00E04353" w:rsidRPr="00F61386">
        <w:rPr>
          <w:rFonts w:ascii="Tw Cen MT" w:hAnsi="Tw Cen MT"/>
          <w:sz w:val="24"/>
          <w:szCs w:val="24"/>
        </w:rPr>
        <w:t xml:space="preserve">an </w:t>
      </w:r>
      <w:r w:rsidR="006B3FA1" w:rsidRPr="00F61386">
        <w:rPr>
          <w:rFonts w:ascii="Tw Cen MT" w:hAnsi="Tw Cen MT"/>
          <w:sz w:val="24"/>
          <w:szCs w:val="24"/>
        </w:rPr>
        <w:t xml:space="preserve">annual compliance meeting </w:t>
      </w:r>
      <w:r w:rsidR="00E04353" w:rsidRPr="00F61386">
        <w:rPr>
          <w:rFonts w:ascii="Tw Cen MT" w:hAnsi="Tw Cen MT"/>
          <w:sz w:val="24"/>
          <w:szCs w:val="24"/>
        </w:rPr>
        <w:t xml:space="preserve">for broker-dealers. </w:t>
      </w:r>
    </w:p>
    <w:p w:rsidR="00FD13E7" w:rsidRPr="00F61386" w:rsidRDefault="00FD13E7" w:rsidP="00C40482">
      <w:pPr>
        <w:pStyle w:val="ListParagraph"/>
        <w:numPr>
          <w:ilvl w:val="4"/>
          <w:numId w:val="1"/>
        </w:numPr>
        <w:rPr>
          <w:rFonts w:ascii="Tw Cen MT" w:hAnsi="Tw Cen MT" w:cs="Times New Roman"/>
          <w:sz w:val="24"/>
          <w:szCs w:val="24"/>
        </w:rPr>
      </w:pPr>
      <w:r w:rsidRPr="00FD13E7">
        <w:rPr>
          <w:rFonts w:ascii="Tw Cen MT" w:hAnsi="Tw Cen MT"/>
          <w:i/>
          <w:sz w:val="24"/>
          <w:szCs w:val="24"/>
        </w:rPr>
        <w:t>See United States v. Garth Peterson</w:t>
      </w:r>
      <w:r>
        <w:rPr>
          <w:rFonts w:ascii="Tw Cen MT" w:hAnsi="Tw Cen MT"/>
          <w:sz w:val="24"/>
          <w:szCs w:val="24"/>
        </w:rPr>
        <w:t xml:space="preserve">, 12-cr-224 (E.D.N.Y. 2012) (charging managing director Peterson, but not employer Morgan Stanley &amp; Co., with FCPA violations, after Peterson received at least 35 FCPA compliance reminders from the company); </w:t>
      </w:r>
      <w:r w:rsidRPr="00FD13E7">
        <w:rPr>
          <w:rFonts w:ascii="Tw Cen MT" w:hAnsi="Tw Cen MT"/>
          <w:i/>
          <w:sz w:val="24"/>
          <w:szCs w:val="24"/>
        </w:rPr>
        <w:t>SEC v. Garth Peterson</w:t>
      </w:r>
      <w:r>
        <w:rPr>
          <w:rFonts w:ascii="Tw Cen MT" w:hAnsi="Tw Cen MT"/>
          <w:sz w:val="24"/>
          <w:szCs w:val="24"/>
        </w:rPr>
        <w:t xml:space="preserve">, No. 12-cv-2033 (E.D.N.Y. 2012) (same). </w:t>
      </w:r>
    </w:p>
    <w:p w:rsidR="00E04353" w:rsidRPr="00F61386" w:rsidRDefault="00E04353" w:rsidP="00E04353">
      <w:pPr>
        <w:pStyle w:val="ListParagraph"/>
        <w:ind w:left="2880"/>
        <w:rPr>
          <w:rFonts w:ascii="Tw Cen MT" w:hAnsi="Tw Cen MT" w:cs="Times New Roman"/>
          <w:sz w:val="24"/>
          <w:szCs w:val="24"/>
        </w:rPr>
      </w:pPr>
    </w:p>
    <w:p w:rsidR="007B2B0F" w:rsidRPr="00F61386" w:rsidRDefault="006B3FA1" w:rsidP="008D2D85">
      <w:pPr>
        <w:pStyle w:val="ListParagraph"/>
        <w:numPr>
          <w:ilvl w:val="1"/>
          <w:numId w:val="1"/>
        </w:numPr>
        <w:rPr>
          <w:rFonts w:ascii="Tw Cen MT" w:hAnsi="Tw Cen MT" w:cs="Times New Roman"/>
          <w:sz w:val="24"/>
          <w:szCs w:val="24"/>
        </w:rPr>
      </w:pPr>
      <w:r w:rsidRPr="00F61386">
        <w:rPr>
          <w:rFonts w:ascii="Tw Cen MT" w:hAnsi="Tw Cen MT"/>
          <w:b/>
          <w:sz w:val="24"/>
          <w:szCs w:val="24"/>
        </w:rPr>
        <w:t>Internal Reporting Procedures</w:t>
      </w:r>
      <w:r w:rsidR="00520C13" w:rsidRPr="00F61386">
        <w:rPr>
          <w:rFonts w:ascii="Tw Cen MT" w:hAnsi="Tw Cen MT"/>
          <w:sz w:val="24"/>
          <w:szCs w:val="24"/>
        </w:rPr>
        <w:t>.  C</w:t>
      </w:r>
      <w:r w:rsidRPr="00F61386">
        <w:rPr>
          <w:rFonts w:ascii="Tw Cen MT" w:hAnsi="Tw Cen MT"/>
          <w:sz w:val="24"/>
          <w:szCs w:val="24"/>
        </w:rPr>
        <w:t>onsider several measures to further promote and encourage internal reporting.</w:t>
      </w:r>
    </w:p>
    <w:p w:rsidR="00520C13" w:rsidRPr="00F61386" w:rsidRDefault="00520C13" w:rsidP="00520C13">
      <w:pPr>
        <w:pStyle w:val="ListParagraph"/>
        <w:ind w:left="1440"/>
        <w:rPr>
          <w:rFonts w:ascii="Tw Cen MT" w:hAnsi="Tw Cen MT" w:cs="Times New Roman"/>
          <w:sz w:val="24"/>
          <w:szCs w:val="24"/>
        </w:rPr>
      </w:pPr>
    </w:p>
    <w:p w:rsidR="00B357FB" w:rsidRPr="00F61386" w:rsidRDefault="006B3FA1" w:rsidP="00520C13">
      <w:pPr>
        <w:pStyle w:val="ListParagraph"/>
        <w:numPr>
          <w:ilvl w:val="2"/>
          <w:numId w:val="1"/>
        </w:numPr>
        <w:rPr>
          <w:rFonts w:ascii="Tw Cen MT" w:hAnsi="Tw Cen MT" w:cs="Times New Roman"/>
          <w:sz w:val="24"/>
          <w:szCs w:val="24"/>
        </w:rPr>
      </w:pPr>
      <w:r w:rsidRPr="00F61386">
        <w:rPr>
          <w:rFonts w:ascii="Tw Cen MT" w:hAnsi="Tw Cen MT"/>
          <w:sz w:val="24"/>
          <w:szCs w:val="24"/>
        </w:rPr>
        <w:t>Accessible Internal Reporting Systems</w:t>
      </w:r>
      <w:r w:rsidR="00520C13" w:rsidRPr="00F61386">
        <w:rPr>
          <w:rFonts w:ascii="Tw Cen MT" w:hAnsi="Tw Cen MT"/>
          <w:sz w:val="24"/>
          <w:szCs w:val="24"/>
        </w:rPr>
        <w:t xml:space="preserve"> –</w:t>
      </w:r>
      <w:r w:rsidRPr="00F61386">
        <w:rPr>
          <w:rFonts w:ascii="Tw Cen MT" w:hAnsi="Tw Cen MT"/>
          <w:sz w:val="24"/>
          <w:szCs w:val="24"/>
        </w:rPr>
        <w:t xml:space="preserve"> Internal reporting should be made available to employees by providing several methods of reporting, </w:t>
      </w:r>
      <w:r w:rsidR="00520C13" w:rsidRPr="00F61386">
        <w:rPr>
          <w:rFonts w:ascii="Tw Cen MT" w:hAnsi="Tw Cen MT"/>
          <w:sz w:val="24"/>
          <w:szCs w:val="24"/>
        </w:rPr>
        <w:t>including toll-free hotlines a</w:t>
      </w:r>
      <w:r w:rsidRPr="00F61386">
        <w:rPr>
          <w:rFonts w:ascii="Tw Cen MT" w:hAnsi="Tw Cen MT"/>
          <w:sz w:val="24"/>
          <w:szCs w:val="24"/>
        </w:rPr>
        <w:t xml:space="preserve">nd </w:t>
      </w:r>
      <w:r w:rsidR="00520C13" w:rsidRPr="00F61386">
        <w:rPr>
          <w:rFonts w:ascii="Tw Cen MT" w:hAnsi="Tw Cen MT"/>
          <w:sz w:val="24"/>
          <w:szCs w:val="24"/>
        </w:rPr>
        <w:t xml:space="preserve">a </w:t>
      </w:r>
      <w:r w:rsidRPr="00F61386">
        <w:rPr>
          <w:rFonts w:ascii="Tw Cen MT" w:hAnsi="Tw Cen MT"/>
          <w:sz w:val="24"/>
          <w:szCs w:val="24"/>
        </w:rPr>
        <w:t>web</w:t>
      </w:r>
      <w:r w:rsidR="00520C13" w:rsidRPr="00F61386">
        <w:rPr>
          <w:rFonts w:ascii="Tw Cen MT" w:hAnsi="Tw Cen MT"/>
          <w:sz w:val="24"/>
          <w:szCs w:val="24"/>
        </w:rPr>
        <w:t>-based form to</w:t>
      </w:r>
      <w:r w:rsidRPr="00F61386">
        <w:rPr>
          <w:rFonts w:ascii="Tw Cen MT" w:hAnsi="Tw Cen MT"/>
          <w:sz w:val="24"/>
          <w:szCs w:val="24"/>
        </w:rPr>
        <w:t xml:space="preserve"> accept anonymous</w:t>
      </w:r>
      <w:r w:rsidR="00520C13" w:rsidRPr="00F61386">
        <w:rPr>
          <w:rFonts w:ascii="Tw Cen MT" w:hAnsi="Tw Cen MT"/>
          <w:sz w:val="24"/>
          <w:szCs w:val="24"/>
        </w:rPr>
        <w:t xml:space="preserve"> allegations</w:t>
      </w:r>
      <w:r w:rsidRPr="00F61386">
        <w:rPr>
          <w:rFonts w:ascii="Tw Cen MT" w:hAnsi="Tw Cen MT"/>
          <w:sz w:val="24"/>
          <w:szCs w:val="24"/>
        </w:rPr>
        <w:t xml:space="preserve">. A company’s reporting mechanisms should be available twenty-four hours a day and in </w:t>
      </w:r>
      <w:r w:rsidR="00520C13" w:rsidRPr="00F61386">
        <w:rPr>
          <w:rFonts w:ascii="Tw Cen MT" w:hAnsi="Tw Cen MT"/>
          <w:sz w:val="24"/>
          <w:szCs w:val="24"/>
        </w:rPr>
        <w:t>appropriate language</w:t>
      </w:r>
      <w:r w:rsidRPr="00F61386">
        <w:rPr>
          <w:rFonts w:ascii="Tw Cen MT" w:hAnsi="Tw Cen MT"/>
          <w:sz w:val="24"/>
          <w:szCs w:val="24"/>
        </w:rPr>
        <w:t xml:space="preserve">. </w:t>
      </w:r>
      <w:r w:rsidR="00520C13" w:rsidRPr="00F61386">
        <w:rPr>
          <w:rFonts w:ascii="Tw Cen MT" w:hAnsi="Tw Cen MT"/>
          <w:sz w:val="24"/>
          <w:szCs w:val="24"/>
        </w:rPr>
        <w:t xml:space="preserve"> Also consider benchmarking you</w:t>
      </w:r>
      <w:r w:rsidRPr="00F61386">
        <w:rPr>
          <w:rFonts w:ascii="Tw Cen MT" w:hAnsi="Tw Cen MT"/>
          <w:sz w:val="24"/>
          <w:szCs w:val="24"/>
        </w:rPr>
        <w:t>r internal reporting systems against those of similar companies in their industry.</w:t>
      </w:r>
      <w:r w:rsidR="00520C13" w:rsidRPr="00F61386">
        <w:rPr>
          <w:rFonts w:ascii="Tw Cen MT" w:hAnsi="Tw Cen MT"/>
          <w:sz w:val="24"/>
          <w:szCs w:val="24"/>
        </w:rPr>
        <w:t xml:space="preserve">  If reports are comparably low, consider why.</w:t>
      </w:r>
    </w:p>
    <w:p w:rsidR="00557B88" w:rsidRPr="00F61386" w:rsidRDefault="00557B88" w:rsidP="00557B88">
      <w:pPr>
        <w:pStyle w:val="ListParagraph"/>
        <w:ind w:left="2160"/>
        <w:rPr>
          <w:rFonts w:ascii="Tw Cen MT" w:hAnsi="Tw Cen MT" w:cs="Times New Roman"/>
          <w:sz w:val="24"/>
          <w:szCs w:val="24"/>
        </w:rPr>
      </w:pPr>
    </w:p>
    <w:p w:rsidR="006B3FA1" w:rsidRPr="00F61386" w:rsidRDefault="00557B88" w:rsidP="00520C13">
      <w:pPr>
        <w:pStyle w:val="ListParagraph"/>
        <w:numPr>
          <w:ilvl w:val="2"/>
          <w:numId w:val="1"/>
        </w:numPr>
        <w:rPr>
          <w:rFonts w:ascii="Tw Cen MT" w:hAnsi="Tw Cen MT" w:cs="Times New Roman"/>
          <w:sz w:val="24"/>
          <w:szCs w:val="24"/>
        </w:rPr>
      </w:pPr>
      <w:r w:rsidRPr="00F61386">
        <w:rPr>
          <w:rFonts w:ascii="Tw Cen MT" w:hAnsi="Tw Cen MT"/>
          <w:sz w:val="24"/>
          <w:szCs w:val="24"/>
        </w:rPr>
        <w:t>Consider integrating your Dodd-Frank whistleblower intake with your reporting to the audit committee under Sarbanes-Oxley Section 301.</w:t>
      </w:r>
      <w:r w:rsidR="000D71CD" w:rsidRPr="00F61386">
        <w:rPr>
          <w:rFonts w:ascii="Tw Cen MT" w:hAnsi="Tw Cen MT"/>
          <w:sz w:val="24"/>
          <w:szCs w:val="24"/>
        </w:rPr>
        <w:t xml:space="preserve">  You may already have an infrastructure in place.</w:t>
      </w:r>
      <w:r w:rsidR="00520C13" w:rsidRPr="00F61386">
        <w:rPr>
          <w:rFonts w:ascii="Tw Cen MT" w:hAnsi="Tw Cen MT"/>
          <w:sz w:val="24"/>
          <w:szCs w:val="24"/>
        </w:rPr>
        <w:t xml:space="preserve"> </w:t>
      </w:r>
    </w:p>
    <w:p w:rsidR="00520C13" w:rsidRPr="00F61386" w:rsidRDefault="00520C13" w:rsidP="00520C13">
      <w:pPr>
        <w:pStyle w:val="ListParagraph"/>
        <w:ind w:left="2160"/>
        <w:rPr>
          <w:rFonts w:ascii="Tw Cen MT" w:hAnsi="Tw Cen MT" w:cs="Times New Roman"/>
          <w:sz w:val="24"/>
          <w:szCs w:val="24"/>
        </w:rPr>
      </w:pPr>
    </w:p>
    <w:p w:rsidR="006B3FA1" w:rsidRPr="00F61386" w:rsidRDefault="006B3FA1" w:rsidP="008D2D85">
      <w:pPr>
        <w:pStyle w:val="ListParagraph"/>
        <w:numPr>
          <w:ilvl w:val="2"/>
          <w:numId w:val="1"/>
        </w:numPr>
        <w:rPr>
          <w:rFonts w:ascii="Tw Cen MT" w:hAnsi="Tw Cen MT" w:cs="Times New Roman"/>
          <w:sz w:val="24"/>
          <w:szCs w:val="24"/>
        </w:rPr>
      </w:pPr>
      <w:r w:rsidRPr="00F61386">
        <w:rPr>
          <w:rFonts w:ascii="Tw Cen MT" w:hAnsi="Tw Cen MT"/>
          <w:sz w:val="24"/>
          <w:szCs w:val="24"/>
        </w:rPr>
        <w:lastRenderedPageBreak/>
        <w:t xml:space="preserve">Communicating Importance of Internal Reporting </w:t>
      </w:r>
      <w:r w:rsidR="00ED4A7E" w:rsidRPr="00F61386">
        <w:rPr>
          <w:rFonts w:ascii="Tw Cen MT" w:hAnsi="Tw Cen MT"/>
          <w:sz w:val="24"/>
          <w:szCs w:val="24"/>
        </w:rPr>
        <w:t>–</w:t>
      </w:r>
      <w:r w:rsidR="00216B27" w:rsidRPr="00F61386">
        <w:rPr>
          <w:rFonts w:ascii="Tw Cen MT" w:hAnsi="Tw Cen MT"/>
          <w:sz w:val="24"/>
          <w:szCs w:val="24"/>
        </w:rPr>
        <w:t xml:space="preserve"> Consider c</w:t>
      </w:r>
      <w:r w:rsidRPr="00F61386">
        <w:rPr>
          <w:rFonts w:ascii="Tw Cen MT" w:hAnsi="Tw Cen MT"/>
          <w:sz w:val="24"/>
          <w:szCs w:val="24"/>
        </w:rPr>
        <w:t>reative ways to raise employee awareness of the importance of reporting compliance</w:t>
      </w:r>
      <w:r w:rsidR="00216B27" w:rsidRPr="00F61386">
        <w:rPr>
          <w:rFonts w:ascii="Tw Cen MT" w:hAnsi="Tw Cen MT"/>
          <w:sz w:val="24"/>
          <w:szCs w:val="24"/>
        </w:rPr>
        <w:t>.  Ge</w:t>
      </w:r>
      <w:r w:rsidRPr="00F61386">
        <w:rPr>
          <w:rFonts w:ascii="Tw Cen MT" w:hAnsi="Tw Cen MT"/>
          <w:sz w:val="24"/>
          <w:szCs w:val="24"/>
        </w:rPr>
        <w:t>t</w:t>
      </w:r>
      <w:r w:rsidR="00216B27" w:rsidRPr="00F61386">
        <w:rPr>
          <w:rFonts w:ascii="Tw Cen MT" w:hAnsi="Tw Cen MT"/>
          <w:sz w:val="24"/>
          <w:szCs w:val="24"/>
        </w:rPr>
        <w:t xml:space="preserve"> senior management to convey that the company wants to hear about problematic issues.</w:t>
      </w:r>
    </w:p>
    <w:p w:rsidR="00216B27" w:rsidRPr="00F61386" w:rsidRDefault="00216B27" w:rsidP="00216B27">
      <w:pPr>
        <w:pStyle w:val="ListParagraph"/>
        <w:rPr>
          <w:rFonts w:ascii="Tw Cen MT" w:hAnsi="Tw Cen MT" w:cs="Times New Roman"/>
          <w:sz w:val="24"/>
          <w:szCs w:val="24"/>
        </w:rPr>
      </w:pPr>
    </w:p>
    <w:p w:rsidR="006B3FA1" w:rsidRPr="00F61386" w:rsidRDefault="00C50CDE" w:rsidP="008D2D85">
      <w:pPr>
        <w:pStyle w:val="ListParagraph"/>
        <w:numPr>
          <w:ilvl w:val="1"/>
          <w:numId w:val="1"/>
        </w:numPr>
        <w:rPr>
          <w:rFonts w:ascii="Tw Cen MT" w:hAnsi="Tw Cen MT" w:cs="Times New Roman"/>
          <w:sz w:val="24"/>
          <w:szCs w:val="24"/>
        </w:rPr>
      </w:pPr>
      <w:r w:rsidRPr="00F61386">
        <w:rPr>
          <w:rFonts w:ascii="Tw Cen MT" w:hAnsi="Tw Cen MT"/>
          <w:b/>
          <w:sz w:val="24"/>
          <w:szCs w:val="24"/>
        </w:rPr>
        <w:t>Human Resources</w:t>
      </w:r>
      <w:r w:rsidRPr="00F61386">
        <w:rPr>
          <w:rFonts w:ascii="Tw Cen MT" w:hAnsi="Tw Cen MT"/>
          <w:sz w:val="24"/>
          <w:szCs w:val="24"/>
        </w:rPr>
        <w:t xml:space="preserve"> </w:t>
      </w:r>
      <w:r w:rsidR="00216B27" w:rsidRPr="00F61386">
        <w:rPr>
          <w:rFonts w:ascii="Tw Cen MT" w:hAnsi="Tw Cen MT"/>
          <w:sz w:val="24"/>
          <w:szCs w:val="24"/>
        </w:rPr>
        <w:t xml:space="preserve">– </w:t>
      </w:r>
      <w:r w:rsidRPr="00F61386">
        <w:rPr>
          <w:rFonts w:ascii="Tw Cen MT" w:hAnsi="Tw Cen MT"/>
          <w:sz w:val="24"/>
          <w:szCs w:val="24"/>
        </w:rPr>
        <w:t>plays an important role in protecting whistleblowers and seeing that employment decisions are made without re</w:t>
      </w:r>
      <w:r w:rsidR="002030CA" w:rsidRPr="00F61386">
        <w:rPr>
          <w:rFonts w:ascii="Tw Cen MT" w:hAnsi="Tw Cen MT"/>
          <w:sz w:val="24"/>
          <w:szCs w:val="24"/>
        </w:rPr>
        <w:t>gard to any protected activity.  At times HR can</w:t>
      </w:r>
      <w:r w:rsidR="00216B27" w:rsidRPr="00F61386">
        <w:rPr>
          <w:rFonts w:ascii="Tw Cen MT" w:hAnsi="Tw Cen MT"/>
          <w:sz w:val="24"/>
          <w:szCs w:val="24"/>
        </w:rPr>
        <w:t xml:space="preserve"> </w:t>
      </w:r>
      <w:r w:rsidRPr="00F61386">
        <w:rPr>
          <w:rFonts w:ascii="Tw Cen MT" w:hAnsi="Tw Cen MT"/>
          <w:sz w:val="24"/>
          <w:szCs w:val="24"/>
        </w:rPr>
        <w:t>address employees’ personnel concerns before they spill over into whistleblowing activity.</w:t>
      </w:r>
    </w:p>
    <w:p w:rsidR="00216B27" w:rsidRPr="00F61386" w:rsidRDefault="00216B27" w:rsidP="00216B27">
      <w:pPr>
        <w:pStyle w:val="ListParagraph"/>
        <w:ind w:left="1440"/>
        <w:rPr>
          <w:rFonts w:ascii="Tw Cen MT" w:hAnsi="Tw Cen MT" w:cs="Times New Roman"/>
          <w:sz w:val="24"/>
          <w:szCs w:val="24"/>
        </w:rPr>
      </w:pPr>
    </w:p>
    <w:p w:rsidR="00C50CDE" w:rsidRPr="00F61386" w:rsidRDefault="00C50CDE" w:rsidP="008D2D85">
      <w:pPr>
        <w:pStyle w:val="ListParagraph"/>
        <w:numPr>
          <w:ilvl w:val="2"/>
          <w:numId w:val="1"/>
        </w:numPr>
        <w:rPr>
          <w:rFonts w:ascii="Tw Cen MT" w:hAnsi="Tw Cen MT" w:cs="Times New Roman"/>
          <w:sz w:val="24"/>
          <w:szCs w:val="24"/>
        </w:rPr>
      </w:pPr>
      <w:r w:rsidRPr="00F61386">
        <w:rPr>
          <w:rFonts w:ascii="Tw Cen MT" w:hAnsi="Tw Cen MT"/>
          <w:sz w:val="24"/>
          <w:szCs w:val="24"/>
        </w:rPr>
        <w:t>Screening New Employees</w:t>
      </w:r>
      <w:r w:rsidR="002030CA" w:rsidRPr="00F61386">
        <w:rPr>
          <w:rFonts w:ascii="Tw Cen MT" w:hAnsi="Tw Cen MT"/>
          <w:sz w:val="24"/>
          <w:szCs w:val="24"/>
        </w:rPr>
        <w:t xml:space="preserve"> –</w:t>
      </w:r>
      <w:r w:rsidRPr="00F61386">
        <w:rPr>
          <w:rFonts w:ascii="Tw Cen MT" w:hAnsi="Tw Cen MT"/>
          <w:sz w:val="24"/>
          <w:szCs w:val="24"/>
        </w:rPr>
        <w:t xml:space="preserve"> H</w:t>
      </w:r>
      <w:r w:rsidR="00C132FA" w:rsidRPr="00F61386">
        <w:rPr>
          <w:rFonts w:ascii="Tw Cen MT" w:hAnsi="Tw Cen MT"/>
          <w:sz w:val="24"/>
          <w:szCs w:val="24"/>
        </w:rPr>
        <w:t xml:space="preserve">R </w:t>
      </w:r>
      <w:r w:rsidRPr="00F61386">
        <w:rPr>
          <w:rFonts w:ascii="Tw Cen MT" w:hAnsi="Tw Cen MT"/>
          <w:sz w:val="24"/>
          <w:szCs w:val="24"/>
        </w:rPr>
        <w:t xml:space="preserve">should screen prospective new hires to identify and </w:t>
      </w:r>
      <w:r w:rsidR="00C132FA" w:rsidRPr="00F61386">
        <w:rPr>
          <w:rFonts w:ascii="Tw Cen MT" w:hAnsi="Tw Cen MT"/>
          <w:sz w:val="24"/>
          <w:szCs w:val="24"/>
        </w:rPr>
        <w:t xml:space="preserve">vet </w:t>
      </w:r>
      <w:r w:rsidRPr="00F61386">
        <w:rPr>
          <w:rFonts w:ascii="Tw Cen MT" w:hAnsi="Tw Cen MT"/>
          <w:sz w:val="24"/>
          <w:szCs w:val="24"/>
        </w:rPr>
        <w:t>red flags, consistent wi</w:t>
      </w:r>
      <w:r w:rsidR="00C132FA" w:rsidRPr="00F61386">
        <w:rPr>
          <w:rFonts w:ascii="Tw Cen MT" w:hAnsi="Tw Cen MT"/>
          <w:sz w:val="24"/>
          <w:szCs w:val="24"/>
        </w:rPr>
        <w:t xml:space="preserve">th applicable </w:t>
      </w:r>
      <w:r w:rsidRPr="00F61386">
        <w:rPr>
          <w:rFonts w:ascii="Tw Cen MT" w:hAnsi="Tw Cen MT"/>
          <w:sz w:val="24"/>
          <w:szCs w:val="24"/>
        </w:rPr>
        <w:t>laws.</w:t>
      </w:r>
    </w:p>
    <w:p w:rsidR="002030CA" w:rsidRPr="00F61386" w:rsidRDefault="002030CA" w:rsidP="002030CA">
      <w:pPr>
        <w:pStyle w:val="ListParagraph"/>
        <w:ind w:left="2160"/>
        <w:rPr>
          <w:rFonts w:ascii="Tw Cen MT" w:hAnsi="Tw Cen MT" w:cs="Times New Roman"/>
          <w:sz w:val="24"/>
          <w:szCs w:val="24"/>
        </w:rPr>
      </w:pPr>
    </w:p>
    <w:p w:rsidR="00C50CDE" w:rsidRPr="00F61386" w:rsidRDefault="00C50CDE" w:rsidP="008D2D85">
      <w:pPr>
        <w:pStyle w:val="ListParagraph"/>
        <w:numPr>
          <w:ilvl w:val="2"/>
          <w:numId w:val="1"/>
        </w:numPr>
        <w:rPr>
          <w:rFonts w:ascii="Tw Cen MT" w:hAnsi="Tw Cen MT" w:cs="Times New Roman"/>
          <w:sz w:val="24"/>
          <w:szCs w:val="24"/>
        </w:rPr>
      </w:pPr>
      <w:r w:rsidRPr="00F61386">
        <w:rPr>
          <w:rFonts w:ascii="Tw Cen MT" w:hAnsi="Tw Cen MT"/>
          <w:sz w:val="24"/>
          <w:szCs w:val="24"/>
        </w:rPr>
        <w:t>Employee Evaluations</w:t>
      </w:r>
      <w:r w:rsidR="002030CA" w:rsidRPr="00F61386">
        <w:rPr>
          <w:rFonts w:ascii="Tw Cen MT" w:hAnsi="Tw Cen MT"/>
          <w:sz w:val="24"/>
          <w:szCs w:val="24"/>
        </w:rPr>
        <w:t xml:space="preserve"> – I</w:t>
      </w:r>
      <w:r w:rsidRPr="00F61386">
        <w:rPr>
          <w:rFonts w:ascii="Tw Cen MT" w:hAnsi="Tw Cen MT"/>
          <w:sz w:val="24"/>
          <w:szCs w:val="24"/>
        </w:rPr>
        <w:t xml:space="preserve">ncorporate adherence to the code of conduct, including the use of internal reporting procedures, into employee evaluations. </w:t>
      </w:r>
    </w:p>
    <w:p w:rsidR="002030CA" w:rsidRPr="00F61386" w:rsidRDefault="002030CA" w:rsidP="002030CA">
      <w:pPr>
        <w:pStyle w:val="ListParagraph"/>
        <w:rPr>
          <w:rFonts w:ascii="Tw Cen MT" w:hAnsi="Tw Cen MT" w:cs="Times New Roman"/>
          <w:sz w:val="24"/>
          <w:szCs w:val="24"/>
        </w:rPr>
      </w:pPr>
    </w:p>
    <w:p w:rsidR="00C50CDE" w:rsidRPr="00F61386" w:rsidRDefault="002030CA" w:rsidP="008D2D85">
      <w:pPr>
        <w:pStyle w:val="ListParagraph"/>
        <w:numPr>
          <w:ilvl w:val="2"/>
          <w:numId w:val="1"/>
        </w:numPr>
        <w:rPr>
          <w:rFonts w:ascii="Tw Cen MT" w:hAnsi="Tw Cen MT" w:cs="Times New Roman"/>
          <w:sz w:val="24"/>
          <w:szCs w:val="24"/>
        </w:rPr>
      </w:pPr>
      <w:r w:rsidRPr="00F61386">
        <w:rPr>
          <w:rFonts w:ascii="Tw Cen MT" w:hAnsi="Tw Cen MT"/>
          <w:sz w:val="24"/>
          <w:szCs w:val="24"/>
        </w:rPr>
        <w:t>Supervisory</w:t>
      </w:r>
      <w:r w:rsidR="00C50CDE" w:rsidRPr="00F61386">
        <w:rPr>
          <w:rFonts w:ascii="Tw Cen MT" w:hAnsi="Tw Cen MT"/>
          <w:sz w:val="24"/>
          <w:szCs w:val="24"/>
        </w:rPr>
        <w:t xml:space="preserve"> Training</w:t>
      </w:r>
      <w:r w:rsidRPr="00F61386">
        <w:rPr>
          <w:rFonts w:ascii="Tw Cen MT" w:hAnsi="Tw Cen MT"/>
          <w:sz w:val="24"/>
          <w:szCs w:val="24"/>
        </w:rPr>
        <w:t xml:space="preserve"> – Prepare managers to recognize </w:t>
      </w:r>
      <w:r w:rsidR="00C34146" w:rsidRPr="00F61386">
        <w:rPr>
          <w:rFonts w:ascii="Tw Cen MT" w:hAnsi="Tw Cen MT"/>
          <w:sz w:val="24"/>
          <w:szCs w:val="24"/>
        </w:rPr>
        <w:t>actual violations.  Hard to do!  But failure to take</w:t>
      </w:r>
      <w:r w:rsidR="00C50CDE" w:rsidRPr="00F61386">
        <w:rPr>
          <w:rFonts w:ascii="Tw Cen MT" w:hAnsi="Tw Cen MT"/>
          <w:sz w:val="24"/>
          <w:szCs w:val="24"/>
        </w:rPr>
        <w:t xml:space="preserve"> </w:t>
      </w:r>
      <w:r w:rsidR="00C34146" w:rsidRPr="00F61386">
        <w:rPr>
          <w:rFonts w:ascii="Tw Cen MT" w:hAnsi="Tw Cen MT"/>
          <w:sz w:val="24"/>
          <w:szCs w:val="24"/>
        </w:rPr>
        <w:t xml:space="preserve">legitimate </w:t>
      </w:r>
      <w:r w:rsidR="00C50CDE" w:rsidRPr="00F61386">
        <w:rPr>
          <w:rFonts w:ascii="Tw Cen MT" w:hAnsi="Tw Cen MT"/>
          <w:sz w:val="24"/>
          <w:szCs w:val="24"/>
        </w:rPr>
        <w:t>reports seriously</w:t>
      </w:r>
      <w:r w:rsidR="00C34146" w:rsidRPr="00F61386">
        <w:rPr>
          <w:rFonts w:ascii="Tw Cen MT" w:hAnsi="Tw Cen MT"/>
          <w:sz w:val="24"/>
          <w:szCs w:val="24"/>
        </w:rPr>
        <w:t xml:space="preserve"> will discourage </w:t>
      </w:r>
      <w:r w:rsidR="00C50CDE" w:rsidRPr="00F61386">
        <w:rPr>
          <w:rFonts w:ascii="Tw Cen MT" w:hAnsi="Tw Cen MT"/>
          <w:sz w:val="24"/>
          <w:szCs w:val="24"/>
        </w:rPr>
        <w:t xml:space="preserve">employees </w:t>
      </w:r>
      <w:r w:rsidR="00C34146" w:rsidRPr="00F61386">
        <w:rPr>
          <w:rFonts w:ascii="Tw Cen MT" w:hAnsi="Tw Cen MT"/>
          <w:sz w:val="24"/>
          <w:szCs w:val="24"/>
        </w:rPr>
        <w:t xml:space="preserve">from reporting internally and could </w:t>
      </w:r>
      <w:r w:rsidR="00C50CDE" w:rsidRPr="00F61386">
        <w:rPr>
          <w:rFonts w:ascii="Tw Cen MT" w:hAnsi="Tw Cen MT"/>
          <w:sz w:val="24"/>
          <w:szCs w:val="24"/>
        </w:rPr>
        <w:t>increase a f</w:t>
      </w:r>
      <w:r w:rsidR="00C34146" w:rsidRPr="00F61386">
        <w:rPr>
          <w:rFonts w:ascii="Tw Cen MT" w:hAnsi="Tw Cen MT"/>
          <w:sz w:val="24"/>
          <w:szCs w:val="24"/>
        </w:rPr>
        <w:t>irm’s legal exposure</w:t>
      </w:r>
      <w:r w:rsidR="00C50CDE" w:rsidRPr="00F61386">
        <w:rPr>
          <w:rFonts w:ascii="Tw Cen MT" w:hAnsi="Tw Cen MT"/>
          <w:sz w:val="24"/>
          <w:szCs w:val="24"/>
        </w:rPr>
        <w:t>.</w:t>
      </w:r>
    </w:p>
    <w:p w:rsidR="00C132FA" w:rsidRPr="00F61386" w:rsidRDefault="00C132FA" w:rsidP="00C132FA">
      <w:pPr>
        <w:pStyle w:val="ListParagraph"/>
        <w:rPr>
          <w:rFonts w:ascii="Tw Cen MT" w:hAnsi="Tw Cen MT" w:cs="Times New Roman"/>
          <w:sz w:val="24"/>
          <w:szCs w:val="24"/>
        </w:rPr>
      </w:pPr>
    </w:p>
    <w:p w:rsidR="00C50CDE" w:rsidRPr="00F61386" w:rsidRDefault="00C132FA" w:rsidP="008D2D85">
      <w:pPr>
        <w:pStyle w:val="ListParagraph"/>
        <w:numPr>
          <w:ilvl w:val="2"/>
          <w:numId w:val="1"/>
        </w:numPr>
        <w:rPr>
          <w:rFonts w:ascii="Tw Cen MT" w:hAnsi="Tw Cen MT" w:cs="Times New Roman"/>
          <w:sz w:val="24"/>
          <w:szCs w:val="24"/>
        </w:rPr>
      </w:pPr>
      <w:r w:rsidRPr="00F61386">
        <w:rPr>
          <w:rFonts w:ascii="Tw Cen MT" w:hAnsi="Tw Cen MT"/>
          <w:sz w:val="24"/>
          <w:szCs w:val="24"/>
        </w:rPr>
        <w:t>Stop problems before they start – Be on the watch for working relationships where</w:t>
      </w:r>
      <w:r w:rsidR="00C50CDE" w:rsidRPr="00F61386">
        <w:rPr>
          <w:rFonts w:ascii="Tw Cen MT" w:hAnsi="Tw Cen MT"/>
          <w:sz w:val="24"/>
          <w:szCs w:val="24"/>
        </w:rPr>
        <w:t xml:space="preserve"> an employee believes he or she is being treated unfairly by superiors. </w:t>
      </w:r>
      <w:r w:rsidRPr="00F61386">
        <w:rPr>
          <w:rFonts w:ascii="Tw Cen MT" w:hAnsi="Tw Cen MT"/>
          <w:sz w:val="24"/>
          <w:szCs w:val="24"/>
        </w:rPr>
        <w:t xml:space="preserve"> Investigate</w:t>
      </w:r>
      <w:r w:rsidR="00C50CDE" w:rsidRPr="00F61386">
        <w:rPr>
          <w:rFonts w:ascii="Tw Cen MT" w:hAnsi="Tw Cen MT"/>
          <w:sz w:val="24"/>
          <w:szCs w:val="24"/>
        </w:rPr>
        <w:t xml:space="preserve"> and a</w:t>
      </w:r>
      <w:r w:rsidRPr="00F61386">
        <w:rPr>
          <w:rFonts w:ascii="Tw Cen MT" w:hAnsi="Tw Cen MT"/>
          <w:sz w:val="24"/>
          <w:szCs w:val="24"/>
        </w:rPr>
        <w:t>ddress the</w:t>
      </w:r>
      <w:r w:rsidR="00C50CDE" w:rsidRPr="00F61386">
        <w:rPr>
          <w:rFonts w:ascii="Tw Cen MT" w:hAnsi="Tw Cen MT"/>
          <w:sz w:val="24"/>
          <w:szCs w:val="24"/>
        </w:rPr>
        <w:t xml:space="preserve"> circumstances</w:t>
      </w:r>
      <w:r w:rsidRPr="00F61386">
        <w:rPr>
          <w:rFonts w:ascii="Tw Cen MT" w:hAnsi="Tw Cen MT"/>
          <w:sz w:val="24"/>
          <w:szCs w:val="24"/>
        </w:rPr>
        <w:t xml:space="preserve"> promptly to </w:t>
      </w:r>
      <w:r w:rsidR="00C50CDE" w:rsidRPr="00F61386">
        <w:rPr>
          <w:rFonts w:ascii="Tw Cen MT" w:hAnsi="Tw Cen MT"/>
          <w:sz w:val="24"/>
          <w:szCs w:val="24"/>
        </w:rPr>
        <w:t>reduce the likelihood that the employee will seek assistance outside of the company by making a whistleblower complaint.</w:t>
      </w:r>
    </w:p>
    <w:p w:rsidR="00C132FA" w:rsidRPr="00F61386" w:rsidRDefault="00C132FA" w:rsidP="00C132FA">
      <w:pPr>
        <w:pStyle w:val="ListParagraph"/>
        <w:rPr>
          <w:rFonts w:ascii="Tw Cen MT" w:hAnsi="Tw Cen MT" w:cs="Times New Roman"/>
          <w:sz w:val="24"/>
          <w:szCs w:val="24"/>
        </w:rPr>
      </w:pPr>
    </w:p>
    <w:p w:rsidR="00C50CDE" w:rsidRPr="00F61386" w:rsidRDefault="00C50CDE" w:rsidP="008D2D85">
      <w:pPr>
        <w:pStyle w:val="ListParagraph"/>
        <w:numPr>
          <w:ilvl w:val="2"/>
          <w:numId w:val="1"/>
        </w:numPr>
        <w:rPr>
          <w:rFonts w:ascii="Tw Cen MT" w:hAnsi="Tw Cen MT" w:cs="Times New Roman"/>
          <w:sz w:val="24"/>
          <w:szCs w:val="24"/>
        </w:rPr>
      </w:pPr>
      <w:r w:rsidRPr="00F61386">
        <w:rPr>
          <w:rFonts w:ascii="Tw Cen MT" w:hAnsi="Tw Cen MT"/>
          <w:sz w:val="24"/>
          <w:szCs w:val="24"/>
        </w:rPr>
        <w:t>Exit Forms and Separation Releases</w:t>
      </w:r>
      <w:r w:rsidR="00C132FA" w:rsidRPr="00F61386">
        <w:rPr>
          <w:rFonts w:ascii="Tw Cen MT" w:hAnsi="Tw Cen MT"/>
          <w:sz w:val="24"/>
          <w:szCs w:val="24"/>
        </w:rPr>
        <w:t xml:space="preserve"> –</w:t>
      </w:r>
      <w:r w:rsidRPr="00F61386">
        <w:rPr>
          <w:rFonts w:ascii="Tw Cen MT" w:hAnsi="Tw Cen MT"/>
          <w:sz w:val="24"/>
          <w:szCs w:val="24"/>
        </w:rPr>
        <w:t xml:space="preserve"> </w:t>
      </w:r>
      <w:r w:rsidR="00C132FA" w:rsidRPr="00F61386">
        <w:rPr>
          <w:rFonts w:ascii="Tw Cen MT" w:hAnsi="Tw Cen MT"/>
          <w:sz w:val="24"/>
          <w:szCs w:val="24"/>
        </w:rPr>
        <w:t>O</w:t>
      </w:r>
      <w:r w:rsidRPr="00F61386">
        <w:rPr>
          <w:rFonts w:ascii="Tw Cen MT" w:hAnsi="Tw Cen MT"/>
          <w:sz w:val="24"/>
          <w:szCs w:val="24"/>
        </w:rPr>
        <w:t xml:space="preserve">btain confirmation from departing employees that they have disclosed to the company any misconduct </w:t>
      </w:r>
      <w:r w:rsidR="00C132FA" w:rsidRPr="00F61386">
        <w:rPr>
          <w:rFonts w:ascii="Tw Cen MT" w:hAnsi="Tw Cen MT"/>
          <w:sz w:val="24"/>
          <w:szCs w:val="24"/>
        </w:rPr>
        <w:t xml:space="preserve">of which they are aware so </w:t>
      </w:r>
      <w:r w:rsidRPr="00F61386">
        <w:rPr>
          <w:rFonts w:ascii="Tw Cen MT" w:hAnsi="Tw Cen MT"/>
          <w:sz w:val="24"/>
          <w:szCs w:val="24"/>
        </w:rPr>
        <w:t xml:space="preserve">it can be addressed appropriately. </w:t>
      </w:r>
      <w:r w:rsidR="00C132FA" w:rsidRPr="00F61386">
        <w:rPr>
          <w:rFonts w:ascii="Tw Cen MT" w:hAnsi="Tw Cen MT"/>
          <w:sz w:val="24"/>
          <w:szCs w:val="24"/>
        </w:rPr>
        <w:t xml:space="preserve"> S</w:t>
      </w:r>
      <w:r w:rsidRPr="00F61386">
        <w:rPr>
          <w:rFonts w:ascii="Tw Cen MT" w:hAnsi="Tw Cen MT"/>
          <w:sz w:val="24"/>
          <w:szCs w:val="24"/>
        </w:rPr>
        <w:t>eparation agreements should include acknowledgments of employee rights to file charges, provide truthful information, and otherwise assist governmental authorities so they are not misinterpreted as impeding these rights, while at the same time waiving individual relief to the maximum extent permitted.</w:t>
      </w:r>
    </w:p>
    <w:p w:rsidR="00C132FA" w:rsidRPr="00F61386" w:rsidRDefault="00C132FA" w:rsidP="00C132FA">
      <w:pPr>
        <w:pStyle w:val="ListParagraph"/>
        <w:rPr>
          <w:rFonts w:ascii="Tw Cen MT" w:hAnsi="Tw Cen MT" w:cs="Times New Roman"/>
          <w:sz w:val="24"/>
          <w:szCs w:val="24"/>
        </w:rPr>
      </w:pPr>
    </w:p>
    <w:p w:rsidR="00C50CDE" w:rsidRPr="00F61386" w:rsidRDefault="00C50CDE" w:rsidP="008D2D85">
      <w:pPr>
        <w:pStyle w:val="ListParagraph"/>
        <w:numPr>
          <w:ilvl w:val="1"/>
          <w:numId w:val="1"/>
        </w:numPr>
        <w:rPr>
          <w:rFonts w:ascii="Tw Cen MT" w:hAnsi="Tw Cen MT" w:cs="Times New Roman"/>
          <w:sz w:val="24"/>
          <w:szCs w:val="24"/>
        </w:rPr>
      </w:pPr>
      <w:r w:rsidRPr="00F61386">
        <w:rPr>
          <w:rFonts w:ascii="Tw Cen MT" w:hAnsi="Tw Cen MT"/>
          <w:b/>
          <w:sz w:val="24"/>
          <w:szCs w:val="24"/>
        </w:rPr>
        <w:t>Internal Investigations</w:t>
      </w:r>
      <w:r w:rsidR="00513191" w:rsidRPr="00F61386">
        <w:rPr>
          <w:rFonts w:ascii="Tw Cen MT" w:hAnsi="Tw Cen MT"/>
          <w:sz w:val="24"/>
          <w:szCs w:val="24"/>
        </w:rPr>
        <w:t xml:space="preserve"> – D</w:t>
      </w:r>
      <w:r w:rsidRPr="00F61386">
        <w:rPr>
          <w:rFonts w:ascii="Tw Cen MT" w:hAnsi="Tw Cen MT"/>
          <w:sz w:val="24"/>
          <w:szCs w:val="24"/>
        </w:rPr>
        <w:t xml:space="preserve">evelop a system to respond </w:t>
      </w:r>
      <w:r w:rsidR="00513191" w:rsidRPr="00F61386">
        <w:rPr>
          <w:rFonts w:ascii="Tw Cen MT" w:hAnsi="Tw Cen MT"/>
          <w:sz w:val="24"/>
          <w:szCs w:val="24"/>
        </w:rPr>
        <w:t xml:space="preserve">quickly </w:t>
      </w:r>
      <w:r w:rsidRPr="00F61386">
        <w:rPr>
          <w:rFonts w:ascii="Tw Cen MT" w:hAnsi="Tw Cen MT"/>
          <w:sz w:val="24"/>
          <w:szCs w:val="24"/>
        </w:rPr>
        <w:t>to allegations of impropriety</w:t>
      </w:r>
      <w:r w:rsidR="00513191" w:rsidRPr="00F61386">
        <w:rPr>
          <w:rFonts w:ascii="Tw Cen MT" w:hAnsi="Tw Cen MT"/>
          <w:sz w:val="24"/>
          <w:szCs w:val="24"/>
        </w:rPr>
        <w:t xml:space="preserve"> and per</w:t>
      </w:r>
      <w:r w:rsidRPr="00F61386">
        <w:rPr>
          <w:rFonts w:ascii="Tw Cen MT" w:hAnsi="Tw Cen MT"/>
          <w:sz w:val="24"/>
          <w:szCs w:val="24"/>
        </w:rPr>
        <w:t xml:space="preserve">iodically review </w:t>
      </w:r>
      <w:r w:rsidR="00513191" w:rsidRPr="00F61386">
        <w:rPr>
          <w:rFonts w:ascii="Tw Cen MT" w:hAnsi="Tw Cen MT"/>
          <w:sz w:val="24"/>
          <w:szCs w:val="24"/>
        </w:rPr>
        <w:t>that system</w:t>
      </w:r>
      <w:r w:rsidRPr="00F61386">
        <w:rPr>
          <w:rFonts w:ascii="Tw Cen MT" w:hAnsi="Tw Cen MT"/>
          <w:sz w:val="24"/>
          <w:szCs w:val="24"/>
        </w:rPr>
        <w:t xml:space="preserve">. </w:t>
      </w:r>
      <w:r w:rsidR="00513191" w:rsidRPr="00F61386">
        <w:rPr>
          <w:rFonts w:ascii="Tw Cen MT" w:hAnsi="Tw Cen MT"/>
          <w:sz w:val="24"/>
          <w:szCs w:val="24"/>
        </w:rPr>
        <w:t xml:space="preserve"> </w:t>
      </w:r>
      <w:r w:rsidRPr="00F61386">
        <w:rPr>
          <w:rFonts w:ascii="Tw Cen MT" w:hAnsi="Tw Cen MT"/>
          <w:sz w:val="24"/>
          <w:szCs w:val="24"/>
        </w:rPr>
        <w:t xml:space="preserve">Upon receiving a tip, </w:t>
      </w:r>
      <w:r w:rsidR="00513191" w:rsidRPr="00F61386">
        <w:rPr>
          <w:rFonts w:ascii="Tw Cen MT" w:hAnsi="Tw Cen MT"/>
          <w:sz w:val="24"/>
          <w:szCs w:val="24"/>
        </w:rPr>
        <w:t>a company only</w:t>
      </w:r>
      <w:r w:rsidRPr="00F61386">
        <w:rPr>
          <w:rFonts w:ascii="Tw Cen MT" w:hAnsi="Tw Cen MT"/>
          <w:sz w:val="24"/>
          <w:szCs w:val="24"/>
        </w:rPr>
        <w:t xml:space="preserve"> has 120 days before an employee can report to the SEC without losing “first in line” status. </w:t>
      </w:r>
      <w:r w:rsidR="00513191" w:rsidRPr="00F61386">
        <w:rPr>
          <w:rFonts w:ascii="Tw Cen MT" w:hAnsi="Tw Cen MT"/>
          <w:sz w:val="24"/>
          <w:szCs w:val="24"/>
        </w:rPr>
        <w:t xml:space="preserve"> </w:t>
      </w:r>
      <w:r w:rsidRPr="00F61386">
        <w:rPr>
          <w:rFonts w:ascii="Tw Cen MT" w:hAnsi="Tw Cen MT"/>
          <w:sz w:val="24"/>
          <w:szCs w:val="24"/>
        </w:rPr>
        <w:t>At the same time, be cautious and deliberative in conduct</w:t>
      </w:r>
      <w:r w:rsidR="00B17AFD" w:rsidRPr="00F61386">
        <w:rPr>
          <w:rFonts w:ascii="Tw Cen MT" w:hAnsi="Tw Cen MT"/>
          <w:sz w:val="24"/>
          <w:szCs w:val="24"/>
        </w:rPr>
        <w:t>ing</w:t>
      </w:r>
      <w:r w:rsidRPr="00F61386">
        <w:rPr>
          <w:rFonts w:ascii="Tw Cen MT" w:hAnsi="Tw Cen MT"/>
          <w:sz w:val="24"/>
          <w:szCs w:val="24"/>
        </w:rPr>
        <w:t xml:space="preserve"> investigations. </w:t>
      </w:r>
    </w:p>
    <w:p w:rsidR="00FE2EE2" w:rsidRPr="00F61386" w:rsidRDefault="00FE2EE2" w:rsidP="00FE2EE2">
      <w:pPr>
        <w:pStyle w:val="ListParagraph"/>
        <w:ind w:left="1440"/>
        <w:rPr>
          <w:rFonts w:ascii="Tw Cen MT" w:hAnsi="Tw Cen MT" w:cs="Times New Roman"/>
          <w:sz w:val="24"/>
          <w:szCs w:val="24"/>
        </w:rPr>
      </w:pPr>
    </w:p>
    <w:p w:rsidR="00C50CDE" w:rsidRPr="00F61386" w:rsidRDefault="00C50CDE" w:rsidP="008D2D85">
      <w:pPr>
        <w:pStyle w:val="ListParagraph"/>
        <w:numPr>
          <w:ilvl w:val="2"/>
          <w:numId w:val="1"/>
        </w:numPr>
        <w:rPr>
          <w:rFonts w:ascii="Tw Cen MT" w:hAnsi="Tw Cen MT" w:cs="Times New Roman"/>
          <w:sz w:val="24"/>
          <w:szCs w:val="24"/>
        </w:rPr>
      </w:pPr>
      <w:r w:rsidRPr="00F61386">
        <w:rPr>
          <w:rFonts w:ascii="Tw Cen MT" w:hAnsi="Tw Cen MT"/>
          <w:b/>
          <w:sz w:val="24"/>
          <w:szCs w:val="24"/>
        </w:rPr>
        <w:lastRenderedPageBreak/>
        <w:t>Investigative Plans</w:t>
      </w:r>
      <w:r w:rsidR="00FE2EE2" w:rsidRPr="00F61386">
        <w:rPr>
          <w:rFonts w:ascii="Tw Cen MT" w:hAnsi="Tw Cen MT"/>
          <w:sz w:val="24"/>
          <w:szCs w:val="24"/>
        </w:rPr>
        <w:t xml:space="preserve"> –</w:t>
      </w:r>
      <w:r w:rsidRPr="00F61386">
        <w:rPr>
          <w:rFonts w:ascii="Tw Cen MT" w:hAnsi="Tw Cen MT"/>
          <w:sz w:val="24"/>
          <w:szCs w:val="24"/>
        </w:rPr>
        <w:t xml:space="preserve"> C</w:t>
      </w:r>
      <w:r w:rsidR="00FE2EE2" w:rsidRPr="00F61386">
        <w:rPr>
          <w:rFonts w:ascii="Tw Cen MT" w:hAnsi="Tw Cen MT"/>
          <w:sz w:val="24"/>
          <w:szCs w:val="24"/>
        </w:rPr>
        <w:t xml:space="preserve">reate an investigative plan in advance </w:t>
      </w:r>
      <w:r w:rsidRPr="00F61386">
        <w:rPr>
          <w:rFonts w:ascii="Tw Cen MT" w:hAnsi="Tw Cen MT"/>
          <w:sz w:val="24"/>
          <w:szCs w:val="24"/>
        </w:rPr>
        <w:t xml:space="preserve">to respond to allegations of possible violations. </w:t>
      </w:r>
      <w:r w:rsidR="00FE2EE2" w:rsidRPr="00F61386">
        <w:rPr>
          <w:rFonts w:ascii="Tw Cen MT" w:hAnsi="Tw Cen MT"/>
          <w:sz w:val="24"/>
          <w:szCs w:val="24"/>
        </w:rPr>
        <w:t xml:space="preserve"> Perhaps obviously, adjust attention and resources according to the seriousness of the allegations.  </w:t>
      </w:r>
      <w:r w:rsidRPr="00F61386">
        <w:rPr>
          <w:rFonts w:ascii="Tw Cen MT" w:hAnsi="Tw Cen MT"/>
          <w:sz w:val="24"/>
          <w:szCs w:val="24"/>
        </w:rPr>
        <w:t>In some cases, it may be important that the investigation be conducted by someone with an independent perspective, such as when there are allegations involving senior management, so as to give external confidence to the results of the investigation. Companies should consider identifying in advance the types of allegations they intend to use outside counsel to investigate, so the investigation can commence promptly. Public companies should also review the types of whistleblower complaints that they require to be promptly reported to the audit committee and determine whether any changes to these procedures are appropriate.</w:t>
      </w:r>
    </w:p>
    <w:p w:rsidR="00FE2EE2" w:rsidRPr="00F61386" w:rsidRDefault="00FE2EE2" w:rsidP="00FE2EE2">
      <w:pPr>
        <w:pStyle w:val="ListParagraph"/>
        <w:ind w:left="2160"/>
        <w:rPr>
          <w:rFonts w:ascii="Tw Cen MT" w:hAnsi="Tw Cen MT" w:cs="Times New Roman"/>
          <w:sz w:val="24"/>
          <w:szCs w:val="24"/>
        </w:rPr>
      </w:pPr>
    </w:p>
    <w:p w:rsidR="00C50CDE" w:rsidRPr="00F61386" w:rsidRDefault="00FE2EE2" w:rsidP="008D2D85">
      <w:pPr>
        <w:pStyle w:val="ListParagraph"/>
        <w:numPr>
          <w:ilvl w:val="2"/>
          <w:numId w:val="1"/>
        </w:numPr>
        <w:rPr>
          <w:rFonts w:ascii="Tw Cen MT" w:hAnsi="Tw Cen MT" w:cs="Times New Roman"/>
          <w:sz w:val="24"/>
          <w:szCs w:val="24"/>
        </w:rPr>
      </w:pPr>
      <w:r w:rsidRPr="00F61386">
        <w:rPr>
          <w:rFonts w:ascii="Tw Cen MT" w:hAnsi="Tw Cen MT"/>
          <w:b/>
          <w:sz w:val="24"/>
          <w:szCs w:val="24"/>
        </w:rPr>
        <w:t>Keeping Whistleblower</w:t>
      </w:r>
      <w:r w:rsidR="0055483F" w:rsidRPr="00F61386">
        <w:rPr>
          <w:rFonts w:ascii="Tw Cen MT" w:hAnsi="Tw Cen MT"/>
          <w:b/>
          <w:sz w:val="24"/>
          <w:szCs w:val="24"/>
        </w:rPr>
        <w:t>s</w:t>
      </w:r>
      <w:r w:rsidRPr="00F61386">
        <w:rPr>
          <w:rFonts w:ascii="Tw Cen MT" w:hAnsi="Tw Cen MT"/>
          <w:b/>
          <w:sz w:val="24"/>
          <w:szCs w:val="24"/>
        </w:rPr>
        <w:t xml:space="preserve"> Inform</w:t>
      </w:r>
      <w:r w:rsidR="00C50CDE" w:rsidRPr="00F61386">
        <w:rPr>
          <w:rFonts w:ascii="Tw Cen MT" w:hAnsi="Tw Cen MT"/>
          <w:b/>
          <w:sz w:val="24"/>
          <w:szCs w:val="24"/>
        </w:rPr>
        <w:t>ed</w:t>
      </w:r>
      <w:r w:rsidRPr="00F61386">
        <w:rPr>
          <w:rFonts w:ascii="Tw Cen MT" w:hAnsi="Tw Cen MT"/>
          <w:sz w:val="24"/>
          <w:szCs w:val="24"/>
        </w:rPr>
        <w:t xml:space="preserve"> – </w:t>
      </w:r>
      <w:r w:rsidR="0055483F" w:rsidRPr="00F61386">
        <w:rPr>
          <w:rFonts w:ascii="Tw Cen MT" w:hAnsi="Tw Cen MT"/>
          <w:sz w:val="24"/>
          <w:szCs w:val="24"/>
        </w:rPr>
        <w:t>W</w:t>
      </w:r>
      <w:r w:rsidR="00C50CDE" w:rsidRPr="00F61386">
        <w:rPr>
          <w:rFonts w:ascii="Tw Cen MT" w:hAnsi="Tw Cen MT"/>
          <w:sz w:val="24"/>
          <w:szCs w:val="24"/>
        </w:rPr>
        <w:t>histleblower</w:t>
      </w:r>
      <w:r w:rsidR="0055483F" w:rsidRPr="00F61386">
        <w:rPr>
          <w:rFonts w:ascii="Tw Cen MT" w:hAnsi="Tw Cen MT"/>
          <w:sz w:val="24"/>
          <w:szCs w:val="24"/>
        </w:rPr>
        <w:t>s who are</w:t>
      </w:r>
      <w:r w:rsidR="00C50CDE" w:rsidRPr="00F61386">
        <w:rPr>
          <w:rFonts w:ascii="Tw Cen MT" w:hAnsi="Tw Cen MT"/>
          <w:sz w:val="24"/>
          <w:szCs w:val="24"/>
        </w:rPr>
        <w:t xml:space="preserve"> left in the dark</w:t>
      </w:r>
      <w:r w:rsidR="0055483F" w:rsidRPr="00F61386">
        <w:rPr>
          <w:rFonts w:ascii="Tw Cen MT" w:hAnsi="Tw Cen MT"/>
          <w:sz w:val="24"/>
          <w:szCs w:val="24"/>
        </w:rPr>
        <w:t xml:space="preserve"> may assume the worst about the ramifications of their reports. C</w:t>
      </w:r>
      <w:r w:rsidR="00C50CDE" w:rsidRPr="00F61386">
        <w:rPr>
          <w:rFonts w:ascii="Tw Cen MT" w:hAnsi="Tw Cen MT"/>
          <w:sz w:val="24"/>
          <w:szCs w:val="24"/>
        </w:rPr>
        <w:t xml:space="preserve">onsider </w:t>
      </w:r>
      <w:r w:rsidR="0055483F" w:rsidRPr="00F61386">
        <w:rPr>
          <w:rFonts w:ascii="Tw Cen MT" w:hAnsi="Tw Cen MT"/>
          <w:sz w:val="24"/>
          <w:szCs w:val="24"/>
        </w:rPr>
        <w:t xml:space="preserve">keeping </w:t>
      </w:r>
      <w:r w:rsidR="00C50CDE" w:rsidRPr="00F61386">
        <w:rPr>
          <w:rFonts w:ascii="Tw Cen MT" w:hAnsi="Tw Cen MT"/>
          <w:sz w:val="24"/>
          <w:szCs w:val="24"/>
        </w:rPr>
        <w:t>internal whistleblower</w:t>
      </w:r>
      <w:r w:rsidR="0055483F" w:rsidRPr="00F61386">
        <w:rPr>
          <w:rFonts w:ascii="Tw Cen MT" w:hAnsi="Tw Cen MT"/>
          <w:sz w:val="24"/>
          <w:szCs w:val="24"/>
        </w:rPr>
        <w:t>s informed</w:t>
      </w:r>
      <w:r w:rsidR="00C50CDE" w:rsidRPr="00F61386">
        <w:rPr>
          <w:rFonts w:ascii="Tw Cen MT" w:hAnsi="Tw Cen MT"/>
          <w:sz w:val="24"/>
          <w:szCs w:val="24"/>
        </w:rPr>
        <w:t xml:space="preserve"> on the status and outcome of the investigation</w:t>
      </w:r>
      <w:r w:rsidR="0055483F" w:rsidRPr="00F61386">
        <w:rPr>
          <w:rFonts w:ascii="Tw Cen MT" w:hAnsi="Tw Cen MT"/>
          <w:sz w:val="24"/>
          <w:szCs w:val="24"/>
        </w:rPr>
        <w:t>,</w:t>
      </w:r>
      <w:r w:rsidR="00C50CDE" w:rsidRPr="00F61386">
        <w:rPr>
          <w:rFonts w:ascii="Tw Cen MT" w:hAnsi="Tw Cen MT"/>
          <w:sz w:val="24"/>
          <w:szCs w:val="24"/>
        </w:rPr>
        <w:t xml:space="preserve"> consistent with needs for confidentiality.</w:t>
      </w:r>
    </w:p>
    <w:p w:rsidR="0055483F" w:rsidRPr="00F61386" w:rsidRDefault="0055483F" w:rsidP="0055483F">
      <w:pPr>
        <w:pStyle w:val="ListParagraph"/>
        <w:rPr>
          <w:rFonts w:ascii="Tw Cen MT" w:hAnsi="Tw Cen MT" w:cs="Times New Roman"/>
          <w:sz w:val="24"/>
          <w:szCs w:val="24"/>
        </w:rPr>
      </w:pPr>
    </w:p>
    <w:p w:rsidR="00C50CDE" w:rsidRPr="00F61386" w:rsidRDefault="00C50CDE" w:rsidP="008D2D85">
      <w:pPr>
        <w:pStyle w:val="ListParagraph"/>
        <w:numPr>
          <w:ilvl w:val="2"/>
          <w:numId w:val="1"/>
        </w:numPr>
        <w:rPr>
          <w:rFonts w:ascii="Tw Cen MT" w:hAnsi="Tw Cen MT" w:cs="Times New Roman"/>
          <w:sz w:val="24"/>
          <w:szCs w:val="24"/>
        </w:rPr>
      </w:pPr>
      <w:r w:rsidRPr="00F61386">
        <w:rPr>
          <w:rFonts w:ascii="Tw Cen MT" w:hAnsi="Tw Cen MT"/>
          <w:b/>
          <w:sz w:val="24"/>
          <w:szCs w:val="24"/>
        </w:rPr>
        <w:t>Employee Interviews</w:t>
      </w:r>
      <w:r w:rsidRPr="00F61386">
        <w:rPr>
          <w:rFonts w:ascii="Tw Cen MT" w:hAnsi="Tw Cen MT"/>
          <w:sz w:val="24"/>
          <w:szCs w:val="24"/>
        </w:rPr>
        <w:t xml:space="preserve"> </w:t>
      </w:r>
      <w:r w:rsidR="0055483F" w:rsidRPr="00F61386">
        <w:rPr>
          <w:rFonts w:ascii="Tw Cen MT" w:hAnsi="Tw Cen MT"/>
          <w:sz w:val="24"/>
          <w:szCs w:val="24"/>
        </w:rPr>
        <w:t>– A</w:t>
      </w:r>
      <w:r w:rsidRPr="00F61386">
        <w:rPr>
          <w:rFonts w:ascii="Tw Cen MT" w:hAnsi="Tw Cen MT"/>
          <w:sz w:val="24"/>
          <w:szCs w:val="24"/>
        </w:rPr>
        <w:t>void revealing specific allegations of wrongdoing and underlying facts that support the allegations during employee interviews, to the extent possible.</w:t>
      </w:r>
      <w:r w:rsidR="0055483F" w:rsidRPr="00F61386">
        <w:rPr>
          <w:rFonts w:ascii="Tw Cen MT" w:hAnsi="Tw Cen MT"/>
          <w:sz w:val="24"/>
          <w:szCs w:val="24"/>
        </w:rPr>
        <w:t xml:space="preserve"> </w:t>
      </w:r>
      <w:r w:rsidRPr="00F61386">
        <w:rPr>
          <w:rFonts w:ascii="Tw Cen MT" w:hAnsi="Tw Cen MT"/>
          <w:sz w:val="24"/>
          <w:szCs w:val="24"/>
        </w:rPr>
        <w:t xml:space="preserve"> </w:t>
      </w:r>
      <w:r w:rsidR="0055483F" w:rsidRPr="00F61386">
        <w:rPr>
          <w:rFonts w:ascii="Tw Cen MT" w:hAnsi="Tw Cen MT"/>
          <w:sz w:val="24"/>
          <w:szCs w:val="24"/>
        </w:rPr>
        <w:t>A</w:t>
      </w:r>
      <w:r w:rsidRPr="00F61386">
        <w:rPr>
          <w:rFonts w:ascii="Tw Cen MT" w:hAnsi="Tw Cen MT"/>
          <w:sz w:val="24"/>
          <w:szCs w:val="24"/>
        </w:rPr>
        <w:t xml:space="preserve">lso consider advising employees that </w:t>
      </w:r>
      <w:r w:rsidR="0055483F" w:rsidRPr="00F61386">
        <w:rPr>
          <w:rFonts w:ascii="Tw Cen MT" w:hAnsi="Tw Cen MT"/>
          <w:sz w:val="24"/>
          <w:szCs w:val="24"/>
        </w:rPr>
        <w:t>t</w:t>
      </w:r>
      <w:r w:rsidRPr="00F61386">
        <w:rPr>
          <w:rFonts w:ascii="Tw Cen MT" w:hAnsi="Tw Cen MT"/>
          <w:sz w:val="24"/>
          <w:szCs w:val="24"/>
        </w:rPr>
        <w:t>hey have an obligation to be candid with the company.</w:t>
      </w:r>
    </w:p>
    <w:p w:rsidR="0055483F" w:rsidRPr="00F61386" w:rsidRDefault="0055483F" w:rsidP="0055483F">
      <w:pPr>
        <w:pStyle w:val="ListParagraph"/>
        <w:rPr>
          <w:rFonts w:ascii="Tw Cen MT" w:hAnsi="Tw Cen MT" w:cs="Times New Roman"/>
          <w:sz w:val="24"/>
          <w:szCs w:val="24"/>
        </w:rPr>
      </w:pPr>
    </w:p>
    <w:p w:rsidR="00C50CDE" w:rsidRPr="00F61386" w:rsidRDefault="0055483F" w:rsidP="008D2D85">
      <w:pPr>
        <w:pStyle w:val="ListParagraph"/>
        <w:numPr>
          <w:ilvl w:val="2"/>
          <w:numId w:val="1"/>
        </w:numPr>
        <w:rPr>
          <w:rFonts w:ascii="Tw Cen MT" w:hAnsi="Tw Cen MT" w:cs="Times New Roman"/>
          <w:sz w:val="24"/>
          <w:szCs w:val="24"/>
        </w:rPr>
      </w:pPr>
      <w:r w:rsidRPr="00F61386">
        <w:rPr>
          <w:rFonts w:ascii="Tw Cen MT" w:hAnsi="Tw Cen MT"/>
          <w:b/>
          <w:sz w:val="24"/>
          <w:szCs w:val="24"/>
        </w:rPr>
        <w:t>Using</w:t>
      </w:r>
      <w:r w:rsidR="00C50CDE" w:rsidRPr="00F61386">
        <w:rPr>
          <w:rFonts w:ascii="Tw Cen MT" w:hAnsi="Tw Cen MT"/>
          <w:b/>
          <w:sz w:val="24"/>
          <w:szCs w:val="24"/>
        </w:rPr>
        <w:t xml:space="preserve"> Counsel</w:t>
      </w:r>
      <w:r w:rsidRPr="00F61386">
        <w:rPr>
          <w:rFonts w:ascii="Tw Cen MT" w:hAnsi="Tw Cen MT"/>
          <w:sz w:val="24"/>
          <w:szCs w:val="24"/>
        </w:rPr>
        <w:t xml:space="preserve"> – I</w:t>
      </w:r>
      <w:r w:rsidR="00C50CDE" w:rsidRPr="00F61386">
        <w:rPr>
          <w:rFonts w:ascii="Tw Cen MT" w:hAnsi="Tw Cen MT"/>
          <w:sz w:val="24"/>
          <w:szCs w:val="24"/>
        </w:rPr>
        <w:t>f appropriate to facilitate legal advice, companies should consider having an attorney conduct or participate in interviews.</w:t>
      </w:r>
      <w:r w:rsidRPr="00F61386">
        <w:rPr>
          <w:rFonts w:ascii="Tw Cen MT" w:hAnsi="Tw Cen MT"/>
          <w:sz w:val="24"/>
          <w:szCs w:val="24"/>
        </w:rPr>
        <w:t xml:space="preserve">  Be sure that the privilege is not waived by providing an </w:t>
      </w:r>
      <w:r w:rsidRPr="00F61386">
        <w:rPr>
          <w:rFonts w:ascii="Tw Cen MT" w:hAnsi="Tw Cen MT"/>
          <w:i/>
          <w:sz w:val="24"/>
          <w:szCs w:val="24"/>
        </w:rPr>
        <w:t>Upjohn</w:t>
      </w:r>
      <w:r w:rsidRPr="00F61386">
        <w:rPr>
          <w:rFonts w:ascii="Tw Cen MT" w:hAnsi="Tw Cen MT"/>
          <w:sz w:val="24"/>
          <w:szCs w:val="24"/>
        </w:rPr>
        <w:t xml:space="preserve"> warning at the outset of each interview.  </w:t>
      </w:r>
      <w:r w:rsidRPr="00F61386">
        <w:rPr>
          <w:rFonts w:ascii="Tw Cen MT" w:hAnsi="Tw Cen MT"/>
          <w:i/>
          <w:sz w:val="24"/>
          <w:szCs w:val="24"/>
        </w:rPr>
        <w:t>See</w:t>
      </w:r>
      <w:r w:rsidRPr="00F61386">
        <w:rPr>
          <w:rFonts w:ascii="Tw Cen MT" w:hAnsi="Tw Cen MT"/>
          <w:sz w:val="24"/>
          <w:szCs w:val="24"/>
        </w:rPr>
        <w:t xml:space="preserve"> </w:t>
      </w:r>
      <w:r w:rsidRPr="00F61386">
        <w:rPr>
          <w:rFonts w:ascii="Tw Cen MT" w:hAnsi="Tw Cen MT"/>
          <w:i/>
          <w:sz w:val="24"/>
          <w:szCs w:val="24"/>
        </w:rPr>
        <w:t>Upjohn Co. v. United States</w:t>
      </w:r>
      <w:r w:rsidRPr="00F61386">
        <w:rPr>
          <w:rFonts w:ascii="Tw Cen MT" w:hAnsi="Tw Cen MT"/>
          <w:sz w:val="24"/>
          <w:szCs w:val="24"/>
        </w:rPr>
        <w:t>, 449 U.S.</w:t>
      </w:r>
      <w:r w:rsidR="002600C5" w:rsidRPr="00F61386">
        <w:rPr>
          <w:rFonts w:ascii="Tw Cen MT" w:hAnsi="Tw Cen MT"/>
          <w:sz w:val="24"/>
          <w:szCs w:val="24"/>
        </w:rPr>
        <w:t xml:space="preserve"> 383 (1981) (</w:t>
      </w:r>
      <w:r w:rsidRPr="00F61386">
        <w:rPr>
          <w:rFonts w:ascii="Tw Cen MT" w:hAnsi="Tw Cen MT"/>
          <w:sz w:val="24"/>
          <w:szCs w:val="24"/>
        </w:rPr>
        <w:t>communications between company counsel and employees are privileged, but the privilege is owned by the company and not the individual employee</w:t>
      </w:r>
      <w:r w:rsidR="002600C5" w:rsidRPr="00F61386">
        <w:rPr>
          <w:rFonts w:ascii="Tw Cen MT" w:hAnsi="Tw Cen MT"/>
          <w:sz w:val="24"/>
          <w:szCs w:val="24"/>
        </w:rPr>
        <w:t>)</w:t>
      </w:r>
      <w:r w:rsidRPr="00F61386">
        <w:rPr>
          <w:rFonts w:ascii="Tw Cen MT" w:hAnsi="Tw Cen MT"/>
          <w:sz w:val="24"/>
          <w:szCs w:val="24"/>
        </w:rPr>
        <w:t xml:space="preserve">. The warning </w:t>
      </w:r>
      <w:r w:rsidR="002600C5" w:rsidRPr="00F61386">
        <w:rPr>
          <w:rFonts w:ascii="Tw Cen MT" w:hAnsi="Tw Cen MT"/>
          <w:sz w:val="24"/>
          <w:szCs w:val="24"/>
        </w:rPr>
        <w:t xml:space="preserve">has two purposes: (1) it </w:t>
      </w:r>
      <w:r w:rsidRPr="00F61386">
        <w:rPr>
          <w:rFonts w:ascii="Tw Cen MT" w:hAnsi="Tw Cen MT"/>
          <w:sz w:val="24"/>
          <w:szCs w:val="24"/>
        </w:rPr>
        <w:t>remove</w:t>
      </w:r>
      <w:r w:rsidR="002600C5" w:rsidRPr="00F61386">
        <w:rPr>
          <w:rFonts w:ascii="Tw Cen MT" w:hAnsi="Tw Cen MT"/>
          <w:sz w:val="24"/>
          <w:szCs w:val="24"/>
        </w:rPr>
        <w:t>s</w:t>
      </w:r>
      <w:r w:rsidRPr="00F61386">
        <w:rPr>
          <w:rFonts w:ascii="Tw Cen MT" w:hAnsi="Tw Cen MT"/>
          <w:sz w:val="24"/>
          <w:szCs w:val="24"/>
        </w:rPr>
        <w:t xml:space="preserve"> any doubt that the lawyer speaking to the employee represents th</w:t>
      </w:r>
      <w:r w:rsidR="002600C5" w:rsidRPr="00F61386">
        <w:rPr>
          <w:rFonts w:ascii="Tw Cen MT" w:hAnsi="Tw Cen MT"/>
          <w:sz w:val="24"/>
          <w:szCs w:val="24"/>
        </w:rPr>
        <w:t>e company, and not the employee; and (2) it</w:t>
      </w:r>
      <w:r w:rsidRPr="00F61386">
        <w:rPr>
          <w:rFonts w:ascii="Tw Cen MT" w:hAnsi="Tw Cen MT"/>
          <w:sz w:val="24"/>
          <w:szCs w:val="24"/>
        </w:rPr>
        <w:t xml:space="preserve"> makes clear that only the company, and not the employee, can waive any privilege associated with the commu</w:t>
      </w:r>
      <w:r w:rsidR="002600C5" w:rsidRPr="00F61386">
        <w:rPr>
          <w:rFonts w:ascii="Tw Cen MT" w:hAnsi="Tw Cen MT"/>
          <w:sz w:val="24"/>
          <w:szCs w:val="24"/>
        </w:rPr>
        <w:t>nication.</w:t>
      </w:r>
    </w:p>
    <w:p w:rsidR="0055483F" w:rsidRPr="00F61386" w:rsidRDefault="0055483F" w:rsidP="0055483F">
      <w:pPr>
        <w:pStyle w:val="ListParagraph"/>
        <w:rPr>
          <w:rFonts w:ascii="Tw Cen MT" w:hAnsi="Tw Cen MT" w:cs="Times New Roman"/>
          <w:sz w:val="24"/>
          <w:szCs w:val="24"/>
        </w:rPr>
      </w:pPr>
    </w:p>
    <w:p w:rsidR="00C50CDE" w:rsidRPr="008949CA" w:rsidRDefault="00C50CDE" w:rsidP="008D2D85">
      <w:pPr>
        <w:pStyle w:val="ListParagraph"/>
        <w:numPr>
          <w:ilvl w:val="2"/>
          <w:numId w:val="1"/>
        </w:numPr>
        <w:rPr>
          <w:rFonts w:ascii="Tw Cen MT" w:hAnsi="Tw Cen MT" w:cs="Times New Roman"/>
          <w:sz w:val="24"/>
          <w:szCs w:val="24"/>
        </w:rPr>
      </w:pPr>
      <w:r w:rsidRPr="00F61386">
        <w:rPr>
          <w:rFonts w:ascii="Tw Cen MT" w:hAnsi="Tw Cen MT"/>
          <w:b/>
          <w:sz w:val="24"/>
          <w:szCs w:val="24"/>
        </w:rPr>
        <w:t>Policies Regarding Privileged and Confidential Information</w:t>
      </w:r>
      <w:r w:rsidRPr="00F61386">
        <w:rPr>
          <w:rFonts w:ascii="Tw Cen MT" w:hAnsi="Tw Cen MT"/>
          <w:sz w:val="24"/>
          <w:szCs w:val="24"/>
        </w:rPr>
        <w:t xml:space="preserve"> </w:t>
      </w:r>
      <w:r w:rsidR="003309C4" w:rsidRPr="00F61386">
        <w:rPr>
          <w:rFonts w:ascii="Tw Cen MT" w:hAnsi="Tw Cen MT"/>
          <w:sz w:val="24"/>
          <w:szCs w:val="24"/>
        </w:rPr>
        <w:t>– I</w:t>
      </w:r>
      <w:r w:rsidRPr="00F61386">
        <w:rPr>
          <w:rFonts w:ascii="Tw Cen MT" w:hAnsi="Tw Cen MT"/>
          <w:sz w:val="24"/>
          <w:szCs w:val="24"/>
        </w:rPr>
        <w:t>t is</w:t>
      </w:r>
      <w:r w:rsidR="003309C4" w:rsidRPr="00F61386">
        <w:rPr>
          <w:rFonts w:ascii="Tw Cen MT" w:hAnsi="Tw Cen MT"/>
          <w:sz w:val="24"/>
          <w:szCs w:val="24"/>
        </w:rPr>
        <w:t xml:space="preserve"> possible</w:t>
      </w:r>
      <w:r w:rsidRPr="00F61386">
        <w:rPr>
          <w:rFonts w:ascii="Tw Cen MT" w:hAnsi="Tw Cen MT"/>
          <w:sz w:val="24"/>
          <w:szCs w:val="24"/>
        </w:rPr>
        <w:t xml:space="preserve"> foreseeable that whistleblowers will disclose confidential and proprietary business or customer information to the government without corporate authorization. </w:t>
      </w:r>
      <w:r w:rsidR="003309C4" w:rsidRPr="00F61386">
        <w:rPr>
          <w:rFonts w:ascii="Tw Cen MT" w:hAnsi="Tw Cen MT"/>
          <w:sz w:val="24"/>
          <w:szCs w:val="24"/>
        </w:rPr>
        <w:t xml:space="preserve"> </w:t>
      </w:r>
      <w:r w:rsidRPr="00F61386">
        <w:rPr>
          <w:rFonts w:ascii="Tw Cen MT" w:hAnsi="Tw Cen MT"/>
          <w:sz w:val="24"/>
          <w:szCs w:val="24"/>
        </w:rPr>
        <w:t>Co</w:t>
      </w:r>
      <w:r w:rsidR="00F63B60" w:rsidRPr="00F61386">
        <w:rPr>
          <w:rFonts w:ascii="Tw Cen MT" w:hAnsi="Tw Cen MT"/>
          <w:sz w:val="24"/>
          <w:szCs w:val="24"/>
        </w:rPr>
        <w:t>mpanies should take steps</w:t>
      </w:r>
      <w:r w:rsidR="003309C4" w:rsidRPr="00F61386">
        <w:rPr>
          <w:rFonts w:ascii="Tw Cen MT" w:hAnsi="Tw Cen MT"/>
          <w:sz w:val="24"/>
          <w:szCs w:val="24"/>
        </w:rPr>
        <w:t xml:space="preserve"> </w:t>
      </w:r>
      <w:r w:rsidRPr="00F61386">
        <w:rPr>
          <w:rFonts w:ascii="Tw Cen MT" w:hAnsi="Tw Cen MT"/>
          <w:sz w:val="24"/>
          <w:szCs w:val="24"/>
        </w:rPr>
        <w:t>to prevent the misuse of confidenti</w:t>
      </w:r>
      <w:r w:rsidR="00F63B60" w:rsidRPr="00F61386">
        <w:rPr>
          <w:rFonts w:ascii="Tw Cen MT" w:hAnsi="Tw Cen MT"/>
          <w:sz w:val="24"/>
          <w:szCs w:val="24"/>
        </w:rPr>
        <w:t>al information by third parties and be prepared</w:t>
      </w:r>
      <w:r w:rsidRPr="00F61386">
        <w:rPr>
          <w:rFonts w:ascii="Tw Cen MT" w:hAnsi="Tw Cen MT"/>
          <w:sz w:val="24"/>
          <w:szCs w:val="24"/>
        </w:rPr>
        <w:t xml:space="preserve"> to advise the SEC that an employee’s disclosure of privileged info</w:t>
      </w:r>
      <w:r w:rsidR="00F63B60" w:rsidRPr="00F61386">
        <w:rPr>
          <w:rFonts w:ascii="Tw Cen MT" w:hAnsi="Tw Cen MT"/>
          <w:sz w:val="24"/>
          <w:szCs w:val="24"/>
        </w:rPr>
        <w:t xml:space="preserve">rmation was unauthorized and </w:t>
      </w:r>
      <w:r w:rsidRPr="00F61386">
        <w:rPr>
          <w:rFonts w:ascii="Tw Cen MT" w:hAnsi="Tw Cen MT"/>
          <w:sz w:val="24"/>
          <w:szCs w:val="24"/>
        </w:rPr>
        <w:t>not a waiver by the company.</w:t>
      </w:r>
    </w:p>
    <w:p w:rsidR="008949CA" w:rsidRPr="008949CA" w:rsidRDefault="008949CA" w:rsidP="008949CA">
      <w:pPr>
        <w:pStyle w:val="ListParagraph"/>
        <w:rPr>
          <w:rFonts w:ascii="Tw Cen MT" w:hAnsi="Tw Cen MT" w:cs="Times New Roman"/>
          <w:sz w:val="24"/>
          <w:szCs w:val="24"/>
        </w:rPr>
      </w:pPr>
    </w:p>
    <w:p w:rsidR="008949CA" w:rsidRPr="008949CA" w:rsidRDefault="008949CA" w:rsidP="008D2D85">
      <w:pPr>
        <w:pStyle w:val="ListParagraph"/>
        <w:numPr>
          <w:ilvl w:val="2"/>
          <w:numId w:val="1"/>
        </w:numPr>
        <w:rPr>
          <w:rFonts w:ascii="Tw Cen MT" w:hAnsi="Tw Cen MT" w:cs="Times New Roman"/>
          <w:b/>
          <w:sz w:val="24"/>
          <w:szCs w:val="24"/>
        </w:rPr>
      </w:pPr>
      <w:r w:rsidRPr="008949CA">
        <w:rPr>
          <w:rFonts w:ascii="Tw Cen MT" w:hAnsi="Tw Cen MT" w:cs="Times New Roman"/>
          <w:b/>
          <w:sz w:val="24"/>
          <w:szCs w:val="24"/>
        </w:rPr>
        <w:lastRenderedPageBreak/>
        <w:t>Potential State Action Issue</w:t>
      </w:r>
    </w:p>
    <w:p w:rsidR="008949CA" w:rsidRPr="008949CA" w:rsidRDefault="008949CA" w:rsidP="008949CA">
      <w:pPr>
        <w:pStyle w:val="ListParagraph"/>
        <w:rPr>
          <w:rFonts w:ascii="Tw Cen MT" w:hAnsi="Tw Cen MT" w:cs="Times New Roman"/>
          <w:sz w:val="24"/>
          <w:szCs w:val="24"/>
        </w:rPr>
      </w:pPr>
    </w:p>
    <w:p w:rsidR="003309C4" w:rsidRPr="000D22C4" w:rsidRDefault="008949CA" w:rsidP="0012109B">
      <w:pPr>
        <w:pStyle w:val="ListParagraph"/>
        <w:numPr>
          <w:ilvl w:val="3"/>
          <w:numId w:val="1"/>
        </w:numPr>
        <w:rPr>
          <w:rFonts w:ascii="Tw Cen MT" w:hAnsi="Tw Cen MT" w:cs="Times New Roman"/>
          <w:sz w:val="24"/>
          <w:szCs w:val="24"/>
        </w:rPr>
      </w:pPr>
      <w:r w:rsidRPr="008949CA">
        <w:rPr>
          <w:rFonts w:ascii="Tw Cen MT" w:hAnsi="Tw Cen MT" w:cs="Times New Roman"/>
          <w:i/>
          <w:sz w:val="24"/>
          <w:szCs w:val="24"/>
        </w:rPr>
        <w:t>United States v. Stein</w:t>
      </w:r>
      <w:r>
        <w:rPr>
          <w:rFonts w:ascii="Tw Cen MT" w:hAnsi="Tw Cen MT" w:cs="Times New Roman"/>
          <w:sz w:val="24"/>
          <w:szCs w:val="24"/>
        </w:rPr>
        <w:t>, 541 F.3d 130 (2d Cir. 2008)</w:t>
      </w:r>
      <w:r w:rsidR="0012109B">
        <w:rPr>
          <w:rFonts w:ascii="Tw Cen MT" w:hAnsi="Tw Cen MT" w:cs="Times New Roman"/>
          <w:sz w:val="24"/>
          <w:szCs w:val="24"/>
        </w:rPr>
        <w:t xml:space="preserve"> – “</w:t>
      </w:r>
      <w:r w:rsidR="0012109B" w:rsidRPr="0012109B">
        <w:rPr>
          <w:rFonts w:ascii="Tw Cen MT" w:hAnsi="Tw Cen MT"/>
          <w:sz w:val="24"/>
          <w:szCs w:val="24"/>
          <w:shd w:val="clear" w:color="auto" w:fill="FFFFFF"/>
        </w:rPr>
        <w:t>We hold that</w:t>
      </w:r>
      <w:r w:rsidR="0012109B" w:rsidRPr="0012109B">
        <w:rPr>
          <w:rStyle w:val="apple-converted-space"/>
          <w:rFonts w:ascii="Tw Cen MT" w:hAnsi="Tw Cen MT"/>
          <w:sz w:val="24"/>
          <w:szCs w:val="24"/>
          <w:shd w:val="clear" w:color="auto" w:fill="FFFFFF"/>
        </w:rPr>
        <w:t> </w:t>
      </w:r>
      <w:r w:rsidR="0012109B" w:rsidRPr="0012109B">
        <w:rPr>
          <w:rStyle w:val="term"/>
          <w:rFonts w:ascii="Tw Cen MT" w:hAnsi="Tw Cen MT"/>
          <w:bCs/>
          <w:sz w:val="24"/>
          <w:szCs w:val="24"/>
          <w:shd w:val="clear" w:color="auto" w:fill="FFFFFF"/>
        </w:rPr>
        <w:t>KPMG’s</w:t>
      </w:r>
      <w:r w:rsidR="0012109B" w:rsidRPr="0012109B">
        <w:rPr>
          <w:rStyle w:val="apple-converted-space"/>
          <w:rFonts w:ascii="Tw Cen MT" w:hAnsi="Tw Cen MT"/>
          <w:sz w:val="24"/>
          <w:szCs w:val="24"/>
          <w:shd w:val="clear" w:color="auto" w:fill="FFFFFF"/>
        </w:rPr>
        <w:t> </w:t>
      </w:r>
      <w:r w:rsidR="0012109B" w:rsidRPr="0012109B">
        <w:rPr>
          <w:rFonts w:ascii="Tw Cen MT" w:hAnsi="Tw Cen MT"/>
          <w:sz w:val="24"/>
          <w:szCs w:val="24"/>
          <w:shd w:val="clear" w:color="auto" w:fill="FFFFFF"/>
        </w:rPr>
        <w:t>adoption and enforcement of a policy under which it conditioned, capped and ultimately ceased advancing legal fees to defendants followed as a direct consequence of the government's overwhelming influence, and that</w:t>
      </w:r>
      <w:r w:rsidR="0012109B" w:rsidRPr="0012109B">
        <w:rPr>
          <w:rStyle w:val="apple-converted-space"/>
          <w:rFonts w:ascii="Tw Cen MT" w:hAnsi="Tw Cen MT"/>
          <w:sz w:val="24"/>
          <w:szCs w:val="24"/>
          <w:shd w:val="clear" w:color="auto" w:fill="FFFFFF"/>
        </w:rPr>
        <w:t> </w:t>
      </w:r>
      <w:r w:rsidR="0012109B" w:rsidRPr="0012109B">
        <w:rPr>
          <w:rStyle w:val="term"/>
          <w:rFonts w:ascii="Tw Cen MT" w:hAnsi="Tw Cen MT"/>
          <w:bCs/>
          <w:sz w:val="24"/>
          <w:szCs w:val="24"/>
          <w:shd w:val="clear" w:color="auto" w:fill="FFFFFF"/>
        </w:rPr>
        <w:t>KPMG’s</w:t>
      </w:r>
      <w:r w:rsidR="0012109B" w:rsidRPr="0012109B">
        <w:rPr>
          <w:rStyle w:val="apple-converted-space"/>
          <w:rFonts w:ascii="Tw Cen MT" w:hAnsi="Tw Cen MT"/>
          <w:sz w:val="24"/>
          <w:szCs w:val="24"/>
          <w:shd w:val="clear" w:color="auto" w:fill="FFFFFF"/>
        </w:rPr>
        <w:t> </w:t>
      </w:r>
      <w:r w:rsidR="0012109B" w:rsidRPr="0012109B">
        <w:rPr>
          <w:rFonts w:ascii="Tw Cen MT" w:hAnsi="Tw Cen MT"/>
          <w:sz w:val="24"/>
          <w:szCs w:val="24"/>
          <w:shd w:val="clear" w:color="auto" w:fill="FFFFFF"/>
        </w:rPr>
        <w:t>conduct therefore amounted to state action. We further hold that the government thus unjustifiably interfered with defe</w:t>
      </w:r>
      <w:r w:rsidR="0012109B">
        <w:rPr>
          <w:rFonts w:ascii="Tw Cen MT" w:hAnsi="Tw Cen MT"/>
          <w:sz w:val="24"/>
          <w:szCs w:val="24"/>
          <w:shd w:val="clear" w:color="auto" w:fill="FFFFFF"/>
        </w:rPr>
        <w:t>ndants’</w:t>
      </w:r>
      <w:r w:rsidR="0012109B" w:rsidRPr="0012109B">
        <w:rPr>
          <w:rFonts w:ascii="Tw Cen MT" w:hAnsi="Tw Cen MT"/>
          <w:sz w:val="24"/>
          <w:szCs w:val="24"/>
          <w:shd w:val="clear" w:color="auto" w:fill="FFFFFF"/>
        </w:rPr>
        <w:t xml:space="preserve"> relationship with counsel and their ability to mount a defense, in violation of the Sixth Amendment, and that the government did not cure the violation. Because no other remedy will return defendants to the status quo ante, we affirm the dismissal of the indictment as to all thirteen defendants.</w:t>
      </w:r>
      <w:r w:rsidR="0012109B">
        <w:rPr>
          <w:rFonts w:ascii="Tw Cen MT" w:hAnsi="Tw Cen MT"/>
          <w:sz w:val="24"/>
          <w:szCs w:val="24"/>
          <w:shd w:val="clear" w:color="auto" w:fill="FFFFFF"/>
        </w:rPr>
        <w:t>”</w:t>
      </w:r>
    </w:p>
    <w:p w:rsidR="000D22C4" w:rsidRPr="0012109B" w:rsidRDefault="000D22C4" w:rsidP="000D22C4">
      <w:pPr>
        <w:pStyle w:val="ListParagraph"/>
        <w:ind w:left="2880"/>
        <w:rPr>
          <w:rFonts w:ascii="Tw Cen MT" w:hAnsi="Tw Cen MT" w:cs="Times New Roman"/>
          <w:sz w:val="24"/>
          <w:szCs w:val="24"/>
        </w:rPr>
      </w:pPr>
    </w:p>
    <w:p w:rsidR="0012109B" w:rsidRPr="000D22C4" w:rsidRDefault="006B0090" w:rsidP="0012109B">
      <w:pPr>
        <w:pStyle w:val="ListParagraph"/>
        <w:numPr>
          <w:ilvl w:val="3"/>
          <w:numId w:val="1"/>
        </w:numPr>
        <w:rPr>
          <w:rFonts w:ascii="Tw Cen MT" w:hAnsi="Tw Cen MT" w:cs="Times New Roman"/>
          <w:sz w:val="24"/>
          <w:szCs w:val="24"/>
        </w:rPr>
      </w:pPr>
      <w:r w:rsidRPr="006B0090">
        <w:rPr>
          <w:rFonts w:ascii="Tw Cen MT" w:hAnsi="Tw Cen MT"/>
          <w:i/>
          <w:sz w:val="24"/>
          <w:szCs w:val="24"/>
        </w:rPr>
        <w:t>Gilman v. Marsh &amp; McLennan Companies, Inc.</w:t>
      </w:r>
      <w:r>
        <w:rPr>
          <w:rFonts w:ascii="Tw Cen MT" w:hAnsi="Tw Cen MT"/>
          <w:sz w:val="24"/>
          <w:szCs w:val="24"/>
        </w:rPr>
        <w:t xml:space="preserve">, 2016 U.S. App. LEXIS 10937 (2d Cir. June 16, 2016) – </w:t>
      </w:r>
      <w:r w:rsidR="0012109B" w:rsidRPr="006B0090">
        <w:rPr>
          <w:rFonts w:ascii="Tw Cen MT" w:hAnsi="Tw Cen MT"/>
          <w:sz w:val="24"/>
          <w:szCs w:val="24"/>
        </w:rPr>
        <w:t>“Gilman and McNenney urge that we adopt, in effect, this categorical rule: acts that are taken by a private company in response to government action, and that have as one goal obtaining better treatment from the government, amount to state action. But a company is not prohibited from cooperating, and typically has supremely reasonable, independent interests for conducting an internal investigation and for cooperating with a governmental investigation, even when employees suspected of crime end up jettisoned. A rule that deems all such companies to be government actors would be incompatible with corporate governance and modern regulation.”</w:t>
      </w:r>
    </w:p>
    <w:p w:rsidR="000D22C4" w:rsidRPr="000D22C4" w:rsidRDefault="000D22C4" w:rsidP="000D22C4">
      <w:pPr>
        <w:pStyle w:val="ListParagraph"/>
        <w:rPr>
          <w:rFonts w:ascii="Tw Cen MT" w:hAnsi="Tw Cen MT" w:cs="Times New Roman"/>
          <w:sz w:val="24"/>
          <w:szCs w:val="24"/>
        </w:rPr>
      </w:pPr>
    </w:p>
    <w:p w:rsidR="006B0090" w:rsidRPr="006433F1" w:rsidRDefault="006B0090" w:rsidP="0012109B">
      <w:pPr>
        <w:pStyle w:val="ListParagraph"/>
        <w:numPr>
          <w:ilvl w:val="3"/>
          <w:numId w:val="1"/>
        </w:numPr>
        <w:rPr>
          <w:rFonts w:ascii="Tw Cen MT" w:hAnsi="Tw Cen MT" w:cs="Times New Roman"/>
          <w:sz w:val="24"/>
          <w:szCs w:val="24"/>
        </w:rPr>
      </w:pPr>
      <w:r w:rsidRPr="006B0090">
        <w:rPr>
          <w:rFonts w:ascii="Tw Cen MT" w:hAnsi="Tw Cen MT"/>
          <w:i/>
          <w:sz w:val="24"/>
          <w:szCs w:val="24"/>
        </w:rPr>
        <w:t>Individual Accountability for Corporate Wrongdoing</w:t>
      </w:r>
      <w:r>
        <w:rPr>
          <w:rFonts w:ascii="Tw Cen MT" w:hAnsi="Tw Cen MT"/>
          <w:sz w:val="24"/>
          <w:szCs w:val="24"/>
        </w:rPr>
        <w:t>, Memorandum from Deputy Attorney General Sally Quillian Yates (Sept. 9, 2015) (the “Yates Memo”).</w:t>
      </w:r>
    </w:p>
    <w:p w:rsidR="006433F1" w:rsidRPr="006433F1" w:rsidRDefault="000D22C4" w:rsidP="006433F1">
      <w:pPr>
        <w:pStyle w:val="ListParagraph"/>
        <w:numPr>
          <w:ilvl w:val="4"/>
          <w:numId w:val="1"/>
        </w:numPr>
        <w:rPr>
          <w:rFonts w:ascii="Tw Cen MT" w:hAnsi="Tw Cen MT" w:cs="Times New Roman"/>
          <w:sz w:val="24"/>
          <w:szCs w:val="24"/>
        </w:rPr>
      </w:pPr>
      <w:r>
        <w:rPr>
          <w:rFonts w:ascii="Tw Cen MT" w:hAnsi="Tw Cen MT"/>
          <w:sz w:val="24"/>
          <w:szCs w:val="24"/>
        </w:rPr>
        <w:t xml:space="preserve">Among other things: </w:t>
      </w:r>
      <w:r w:rsidR="006433F1" w:rsidRPr="006433F1">
        <w:rPr>
          <w:rFonts w:ascii="Tw Cen MT" w:hAnsi="Tw Cen MT"/>
          <w:sz w:val="24"/>
          <w:szCs w:val="24"/>
        </w:rPr>
        <w:t xml:space="preserve">“To be eligible for </w:t>
      </w:r>
      <w:r w:rsidR="006433F1" w:rsidRPr="006433F1">
        <w:rPr>
          <w:rFonts w:ascii="Tw Cen MT" w:hAnsi="Tw Cen MT"/>
          <w:sz w:val="24"/>
          <w:szCs w:val="24"/>
          <w:u w:val="single"/>
        </w:rPr>
        <w:t>anv</w:t>
      </w:r>
      <w:r w:rsidR="006433F1" w:rsidRPr="006433F1">
        <w:rPr>
          <w:rFonts w:ascii="Tw Cen MT" w:hAnsi="Tw Cen MT"/>
          <w:sz w:val="24"/>
          <w:szCs w:val="24"/>
        </w:rPr>
        <w:t xml:space="preserve"> cooperation credit, corporations must provide to the Department all relevant facts about the individuals involved in corporate misconduct.”</w:t>
      </w:r>
    </w:p>
    <w:p w:rsidR="006433F1" w:rsidRDefault="006433F1" w:rsidP="000D22C4">
      <w:pPr>
        <w:pStyle w:val="NormalWeb"/>
        <w:numPr>
          <w:ilvl w:val="3"/>
          <w:numId w:val="1"/>
        </w:numPr>
        <w:spacing w:before="0" w:beforeAutospacing="0" w:after="0" w:afterAutospacing="0"/>
        <w:textAlignment w:val="baseline"/>
        <w:rPr>
          <w:rFonts w:ascii="Tw Cen MT" w:hAnsi="Tw Cen MT"/>
        </w:rPr>
      </w:pPr>
      <w:r w:rsidRPr="006433F1">
        <w:rPr>
          <w:rFonts w:ascii="Tw Cen MT" w:hAnsi="Tw Cen MT"/>
        </w:rPr>
        <w:t>What if a company doesn’t threaten to fire non-cooperating employees until </w:t>
      </w:r>
      <w:r w:rsidRPr="006433F1">
        <w:rPr>
          <w:rStyle w:val="Emphasis"/>
          <w:rFonts w:ascii="Tw Cen MT" w:hAnsi="Tw Cen MT"/>
          <w:bdr w:val="none" w:sz="0" w:space="0" w:color="auto" w:frame="1"/>
        </w:rPr>
        <w:t>after </w:t>
      </w:r>
      <w:r w:rsidRPr="006433F1">
        <w:rPr>
          <w:rFonts w:ascii="Tw Cen MT" w:hAnsi="Tw Cen MT"/>
        </w:rPr>
        <w:t xml:space="preserve">the </w:t>
      </w:r>
      <w:r>
        <w:rPr>
          <w:rFonts w:ascii="Tw Cen MT" w:hAnsi="Tw Cen MT"/>
        </w:rPr>
        <w:t>government</w:t>
      </w:r>
      <w:r w:rsidRPr="006433F1">
        <w:rPr>
          <w:rFonts w:ascii="Tw Cen MT" w:hAnsi="Tw Cen MT"/>
        </w:rPr>
        <w:t xml:space="preserve"> tell</w:t>
      </w:r>
      <w:r>
        <w:rPr>
          <w:rFonts w:ascii="Tw Cen MT" w:hAnsi="Tw Cen MT"/>
        </w:rPr>
        <w:t>s</w:t>
      </w:r>
      <w:r w:rsidRPr="006433F1">
        <w:rPr>
          <w:rFonts w:ascii="Tw Cen MT" w:hAnsi="Tw Cen MT"/>
        </w:rPr>
        <w:t xml:space="preserve"> the company to do everything it can to find culpable individuals?</w:t>
      </w:r>
    </w:p>
    <w:p w:rsidR="000D22C4" w:rsidRPr="006433F1" w:rsidRDefault="000D22C4" w:rsidP="000D22C4">
      <w:pPr>
        <w:pStyle w:val="NormalWeb"/>
        <w:spacing w:before="0" w:beforeAutospacing="0" w:after="0" w:afterAutospacing="0"/>
        <w:ind w:left="2880"/>
        <w:textAlignment w:val="baseline"/>
        <w:rPr>
          <w:rFonts w:ascii="Tw Cen MT" w:hAnsi="Tw Cen MT"/>
        </w:rPr>
      </w:pPr>
    </w:p>
    <w:p w:rsidR="006433F1" w:rsidRDefault="006433F1" w:rsidP="000D22C4">
      <w:pPr>
        <w:pStyle w:val="NormalWeb"/>
        <w:numPr>
          <w:ilvl w:val="4"/>
          <w:numId w:val="1"/>
        </w:numPr>
        <w:spacing w:before="0" w:beforeAutospacing="0" w:after="0" w:afterAutospacing="0"/>
        <w:textAlignment w:val="baseline"/>
        <w:rPr>
          <w:rFonts w:ascii="Tw Cen MT" w:hAnsi="Tw Cen MT"/>
        </w:rPr>
      </w:pPr>
      <w:r w:rsidRPr="006433F1">
        <w:rPr>
          <w:rFonts w:ascii="Tw Cen MT" w:hAnsi="Tw Cen MT"/>
        </w:rPr>
        <w:t>For example, say an anonymous whistleblower alerts the Justice Department</w:t>
      </w:r>
      <w:r w:rsidR="000D22C4">
        <w:rPr>
          <w:rFonts w:ascii="Tw Cen MT" w:hAnsi="Tw Cen MT"/>
        </w:rPr>
        <w:t xml:space="preserve"> or the SEC</w:t>
      </w:r>
      <w:r w:rsidRPr="006433F1">
        <w:rPr>
          <w:rFonts w:ascii="Tw Cen MT" w:hAnsi="Tw Cen MT"/>
        </w:rPr>
        <w:t xml:space="preserve"> to a </w:t>
      </w:r>
      <w:r w:rsidR="000D22C4">
        <w:rPr>
          <w:rFonts w:ascii="Tw Cen MT" w:hAnsi="Tw Cen MT"/>
        </w:rPr>
        <w:t xml:space="preserve">foreign </w:t>
      </w:r>
      <w:r w:rsidRPr="006433F1">
        <w:rPr>
          <w:rFonts w:ascii="Tw Cen MT" w:hAnsi="Tw Cen MT"/>
        </w:rPr>
        <w:t>bribery scheme. Yo</w:t>
      </w:r>
      <w:r w:rsidR="000D22C4">
        <w:rPr>
          <w:rFonts w:ascii="Tw Cen MT" w:hAnsi="Tw Cen MT"/>
        </w:rPr>
        <w:t>u</w:t>
      </w:r>
      <w:r w:rsidRPr="006433F1">
        <w:rPr>
          <w:rFonts w:ascii="Tw Cen MT" w:hAnsi="Tw Cen MT"/>
        </w:rPr>
        <w:t xml:space="preserve"> first</w:t>
      </w:r>
      <w:r w:rsidR="000D22C4">
        <w:rPr>
          <w:rFonts w:ascii="Tw Cen MT" w:hAnsi="Tw Cen MT"/>
        </w:rPr>
        <w:t xml:space="preserve"> learn of the issue when </w:t>
      </w:r>
      <w:r w:rsidRPr="006433F1">
        <w:rPr>
          <w:rFonts w:ascii="Tw Cen MT" w:hAnsi="Tw Cen MT"/>
        </w:rPr>
        <w:t xml:space="preserve">a prosecutor </w:t>
      </w:r>
      <w:r w:rsidR="000D22C4">
        <w:rPr>
          <w:rFonts w:ascii="Tw Cen MT" w:hAnsi="Tw Cen MT"/>
        </w:rPr>
        <w:t>says</w:t>
      </w:r>
      <w:r w:rsidRPr="006433F1">
        <w:rPr>
          <w:rFonts w:ascii="Tw Cen MT" w:hAnsi="Tw Cen MT"/>
        </w:rPr>
        <w:t xml:space="preserve">, “We have evidence of anti-bribery violations, and John Doe and </w:t>
      </w:r>
      <w:r w:rsidRPr="006433F1">
        <w:rPr>
          <w:rFonts w:ascii="Tw Cen MT" w:hAnsi="Tw Cen MT"/>
        </w:rPr>
        <w:lastRenderedPageBreak/>
        <w:t>Jane Smith are possible targets. Per the Yates Memo, we want everything you can find</w:t>
      </w:r>
      <w:r w:rsidR="000D22C4">
        <w:rPr>
          <w:rFonts w:ascii="Tw Cen MT" w:hAnsi="Tw Cen MT"/>
        </w:rPr>
        <w:t xml:space="preserve"> about their business overseas.”</w:t>
      </w:r>
    </w:p>
    <w:p w:rsidR="000D22C4" w:rsidRDefault="000D22C4" w:rsidP="000D22C4">
      <w:pPr>
        <w:pStyle w:val="NormalWeb"/>
        <w:spacing w:before="0" w:beforeAutospacing="0" w:after="0" w:afterAutospacing="0"/>
        <w:ind w:left="3600"/>
        <w:textAlignment w:val="baseline"/>
        <w:rPr>
          <w:rFonts w:ascii="Tw Cen MT" w:hAnsi="Tw Cen MT"/>
        </w:rPr>
      </w:pPr>
    </w:p>
    <w:p w:rsidR="000D22C4" w:rsidRPr="000D22C4" w:rsidRDefault="000D22C4" w:rsidP="002E1A1E">
      <w:pPr>
        <w:pStyle w:val="NormalWeb"/>
        <w:numPr>
          <w:ilvl w:val="4"/>
          <w:numId w:val="1"/>
        </w:numPr>
        <w:spacing w:before="0" w:beforeAutospacing="0" w:after="0" w:afterAutospacing="0"/>
        <w:textAlignment w:val="baseline"/>
        <w:rPr>
          <w:rFonts w:ascii="Tw Cen MT" w:hAnsi="Tw Cen MT"/>
        </w:rPr>
      </w:pPr>
      <w:r w:rsidRPr="000D22C4">
        <w:rPr>
          <w:rFonts w:ascii="Tw Cen MT" w:hAnsi="Tw Cen MT"/>
        </w:rPr>
        <w:t>Is</w:t>
      </w:r>
      <w:r w:rsidR="006433F1" w:rsidRPr="000D22C4">
        <w:rPr>
          <w:rFonts w:ascii="Tw Cen MT" w:hAnsi="Tw Cen MT"/>
        </w:rPr>
        <w:t xml:space="preserve"> that scenario </w:t>
      </w:r>
      <w:r w:rsidRPr="000D22C4">
        <w:rPr>
          <w:rFonts w:ascii="Tw Cen MT" w:hAnsi="Tw Cen MT"/>
        </w:rPr>
        <w:t xml:space="preserve">close </w:t>
      </w:r>
      <w:r w:rsidR="006433F1" w:rsidRPr="000D22C4">
        <w:rPr>
          <w:rFonts w:ascii="Tw Cen MT" w:hAnsi="Tw Cen MT"/>
        </w:rPr>
        <w:t>to the pressure prosecutors applied in the </w:t>
      </w:r>
      <w:r w:rsidR="006433F1" w:rsidRPr="000D22C4">
        <w:rPr>
          <w:rStyle w:val="Emphasis"/>
          <w:rFonts w:ascii="Tw Cen MT" w:hAnsi="Tw Cen MT"/>
          <w:bdr w:val="none" w:sz="0" w:space="0" w:color="auto" w:frame="1"/>
        </w:rPr>
        <w:t>Stein</w:t>
      </w:r>
      <w:r w:rsidR="006433F1" w:rsidRPr="000D22C4">
        <w:rPr>
          <w:rFonts w:ascii="Tw Cen MT" w:hAnsi="Tw Cen MT"/>
        </w:rPr>
        <w:t> case, where the government did overstep and coerce KPMG to do its bidding?</w:t>
      </w:r>
      <w:r w:rsidRPr="000D22C4">
        <w:rPr>
          <w:rFonts w:ascii="Tw Cen MT" w:hAnsi="Tw Cen MT"/>
        </w:rPr>
        <w:t xml:space="preserve"> </w:t>
      </w:r>
      <w:r w:rsidR="006433F1" w:rsidRPr="000D22C4">
        <w:rPr>
          <w:rFonts w:ascii="Tw Cen MT" w:hAnsi="Tw Cen MT"/>
        </w:rPr>
        <w:t xml:space="preserve"> As the appellate court noted</w:t>
      </w:r>
      <w:r w:rsidRPr="000D22C4">
        <w:rPr>
          <w:rFonts w:ascii="Tw Cen MT" w:hAnsi="Tw Cen MT"/>
        </w:rPr>
        <w:t xml:space="preserve"> in </w:t>
      </w:r>
      <w:r w:rsidRPr="000D22C4">
        <w:rPr>
          <w:rFonts w:ascii="Tw Cen MT" w:hAnsi="Tw Cen MT"/>
          <w:i/>
        </w:rPr>
        <w:t>Stein</w:t>
      </w:r>
      <w:r w:rsidR="006433F1" w:rsidRPr="000D22C4">
        <w:rPr>
          <w:rFonts w:ascii="Tw Cen MT" w:hAnsi="Tw Cen MT"/>
        </w:rPr>
        <w:t>, KPMG’s decision to cut off legal fees “was a direct consequence of the government’s overwhelming influenc</w:t>
      </w:r>
      <w:r w:rsidRPr="000D22C4">
        <w:rPr>
          <w:rFonts w:ascii="Tw Cen MT" w:hAnsi="Tw Cen MT"/>
        </w:rPr>
        <w:t>e</w:t>
      </w:r>
      <w:r w:rsidR="006433F1" w:rsidRPr="000D22C4">
        <w:rPr>
          <w:rFonts w:ascii="Tw Cen MT" w:hAnsi="Tw Cen MT"/>
        </w:rPr>
        <w:t>.</w:t>
      </w:r>
      <w:r w:rsidRPr="000D22C4">
        <w:rPr>
          <w:rFonts w:ascii="Tw Cen MT" w:hAnsi="Tw Cen MT"/>
        </w:rPr>
        <w:t>”</w:t>
      </w:r>
    </w:p>
    <w:p w:rsidR="000D22C4" w:rsidRPr="006433F1" w:rsidRDefault="000D22C4" w:rsidP="000D22C4">
      <w:pPr>
        <w:pStyle w:val="NormalWeb"/>
        <w:spacing w:before="0" w:beforeAutospacing="0" w:after="0" w:afterAutospacing="0"/>
        <w:ind w:left="3600"/>
        <w:textAlignment w:val="baseline"/>
        <w:rPr>
          <w:rFonts w:ascii="Tw Cen MT" w:hAnsi="Tw Cen MT"/>
        </w:rPr>
      </w:pPr>
    </w:p>
    <w:p w:rsidR="00C0760A" w:rsidRPr="00C0760A" w:rsidRDefault="006433F1" w:rsidP="00415A22">
      <w:pPr>
        <w:pStyle w:val="NormalWeb"/>
        <w:numPr>
          <w:ilvl w:val="4"/>
          <w:numId w:val="1"/>
        </w:numPr>
        <w:spacing w:before="0" w:beforeAutospacing="0" w:after="0" w:afterAutospacing="0"/>
        <w:textAlignment w:val="baseline"/>
        <w:rPr>
          <w:rFonts w:ascii="Tw Cen MT" w:hAnsi="Tw Cen MT"/>
        </w:rPr>
      </w:pPr>
      <w:r w:rsidRPr="00C0760A">
        <w:rPr>
          <w:rFonts w:ascii="Tw Cen MT" w:hAnsi="Tw Cen MT"/>
        </w:rPr>
        <w:t xml:space="preserve">The Yates Memo </w:t>
      </w:r>
      <w:r w:rsidR="000D22C4" w:rsidRPr="00C0760A">
        <w:rPr>
          <w:rFonts w:ascii="Tw Cen MT" w:hAnsi="Tw Cen MT"/>
        </w:rPr>
        <w:t>could qualify</w:t>
      </w:r>
      <w:r w:rsidRPr="00C0760A">
        <w:rPr>
          <w:rFonts w:ascii="Tw Cen MT" w:hAnsi="Tw Cen MT"/>
        </w:rPr>
        <w:t xml:space="preserve"> as government influence. </w:t>
      </w:r>
      <w:r w:rsidR="000D22C4" w:rsidRPr="00C0760A">
        <w:rPr>
          <w:rFonts w:ascii="Tw Cen MT" w:hAnsi="Tw Cen MT"/>
        </w:rPr>
        <w:t xml:space="preserve">But remember that </w:t>
      </w:r>
      <w:r w:rsidRPr="00C0760A">
        <w:rPr>
          <w:rFonts w:ascii="Tw Cen MT" w:hAnsi="Tw Cen MT"/>
        </w:rPr>
        <w:t>KPMG reversed its policy of covering employees’ legal fees</w:t>
      </w:r>
      <w:r w:rsidR="000D22C4" w:rsidRPr="00C0760A">
        <w:rPr>
          <w:rFonts w:ascii="Tw Cen MT" w:hAnsi="Tw Cen MT"/>
        </w:rPr>
        <w:t xml:space="preserve"> after being pushed by prosecutors to do so</w:t>
      </w:r>
      <w:r w:rsidRPr="00C0760A">
        <w:rPr>
          <w:rFonts w:ascii="Tw Cen MT" w:hAnsi="Tw Cen MT"/>
        </w:rPr>
        <w:t xml:space="preserve">. </w:t>
      </w:r>
      <w:r w:rsidR="000D22C4" w:rsidRPr="00C0760A">
        <w:rPr>
          <w:rFonts w:ascii="Tw Cen MT" w:hAnsi="Tw Cen MT"/>
        </w:rPr>
        <w:t xml:space="preserve"> I</w:t>
      </w:r>
      <w:r w:rsidRPr="00C0760A">
        <w:rPr>
          <w:rFonts w:ascii="Tw Cen MT" w:hAnsi="Tw Cen MT"/>
        </w:rPr>
        <w:t xml:space="preserve">f you want to avoid </w:t>
      </w:r>
      <w:r w:rsidRPr="00C0760A">
        <w:rPr>
          <w:rFonts w:ascii="Tw Cen MT" w:hAnsi="Tw Cen MT"/>
          <w:i/>
        </w:rPr>
        <w:t>Stein</w:t>
      </w:r>
      <w:r w:rsidRPr="00C0760A">
        <w:rPr>
          <w:rFonts w:ascii="Tw Cen MT" w:hAnsi="Tw Cen MT"/>
        </w:rPr>
        <w:t>-like trouble</w:t>
      </w:r>
      <w:r w:rsidR="000D22C4" w:rsidRPr="00C0760A">
        <w:rPr>
          <w:rFonts w:ascii="Tw Cen MT" w:hAnsi="Tw Cen MT"/>
        </w:rPr>
        <w:t xml:space="preserve">, </w:t>
      </w:r>
      <w:r w:rsidR="00C0760A" w:rsidRPr="00C0760A">
        <w:rPr>
          <w:rFonts w:ascii="Tw Cen MT" w:hAnsi="Tw Cen MT"/>
        </w:rPr>
        <w:t>take a hard line from the start:</w:t>
      </w:r>
      <w:r w:rsidRPr="00C0760A">
        <w:rPr>
          <w:rFonts w:ascii="Tw Cen MT" w:hAnsi="Tw Cen MT"/>
        </w:rPr>
        <w:t xml:space="preserve"> that stonewalling an investigation into misconduct will get an employee fired.</w:t>
      </w:r>
    </w:p>
    <w:p w:rsidR="00C0760A" w:rsidRPr="006433F1" w:rsidRDefault="00C0760A" w:rsidP="00C0760A">
      <w:pPr>
        <w:pStyle w:val="NormalWeb"/>
        <w:spacing w:before="0" w:beforeAutospacing="0" w:after="0" w:afterAutospacing="0"/>
        <w:ind w:left="3600"/>
        <w:textAlignment w:val="baseline"/>
        <w:rPr>
          <w:rFonts w:ascii="Tw Cen MT" w:hAnsi="Tw Cen MT"/>
        </w:rPr>
      </w:pPr>
    </w:p>
    <w:p w:rsidR="006433F1" w:rsidRPr="006433F1" w:rsidRDefault="00C0760A" w:rsidP="00C0760A">
      <w:pPr>
        <w:pStyle w:val="NormalWeb"/>
        <w:numPr>
          <w:ilvl w:val="4"/>
          <w:numId w:val="1"/>
        </w:numPr>
        <w:spacing w:before="0" w:beforeAutospacing="0" w:after="0" w:afterAutospacing="0"/>
        <w:textAlignment w:val="baseline"/>
        <w:rPr>
          <w:rFonts w:ascii="Tw Cen MT" w:hAnsi="Tw Cen MT"/>
        </w:rPr>
      </w:pPr>
      <w:r>
        <w:rPr>
          <w:rFonts w:ascii="Tw Cen MT" w:hAnsi="Tw Cen MT"/>
        </w:rPr>
        <w:t>But also remember that</w:t>
      </w:r>
      <w:r w:rsidR="006433F1" w:rsidRPr="006433F1">
        <w:rPr>
          <w:rFonts w:ascii="Tw Cen MT" w:hAnsi="Tw Cen MT"/>
        </w:rPr>
        <w:t> </w:t>
      </w:r>
      <w:r w:rsidR="006433F1" w:rsidRPr="00C0760A">
        <w:rPr>
          <w:rStyle w:val="Emphasis"/>
          <w:rFonts w:ascii="Tw Cen MT" w:hAnsi="Tw Cen MT"/>
          <w:i w:val="0"/>
          <w:bdr w:val="none" w:sz="0" w:space="0" w:color="auto" w:frame="1"/>
        </w:rPr>
        <w:t>employees are human beings</w:t>
      </w:r>
      <w:r>
        <w:rPr>
          <w:rStyle w:val="Emphasis"/>
          <w:rFonts w:ascii="Tw Cen MT" w:hAnsi="Tw Cen MT"/>
          <w:i w:val="0"/>
          <w:bdr w:val="none" w:sz="0" w:space="0" w:color="auto" w:frame="1"/>
        </w:rPr>
        <w:t xml:space="preserve"> and that </w:t>
      </w:r>
      <w:r w:rsidRPr="00C0760A">
        <w:rPr>
          <w:rFonts w:ascii="Tw Cen MT" w:hAnsi="Tw Cen MT"/>
        </w:rPr>
        <w:t>t</w:t>
      </w:r>
      <w:r>
        <w:rPr>
          <w:rFonts w:ascii="Tw Cen MT" w:hAnsi="Tw Cen MT"/>
        </w:rPr>
        <w:t>aking such a hard line could</w:t>
      </w:r>
      <w:r w:rsidR="006433F1" w:rsidRPr="006433F1">
        <w:rPr>
          <w:rFonts w:ascii="Tw Cen MT" w:hAnsi="Tw Cen MT"/>
        </w:rPr>
        <w:t xml:space="preserve"> scare them, especially if they are only peripheral to the investigation or were somehow coerced into wrongdoing by a guilty supervisor.</w:t>
      </w:r>
      <w:r w:rsidR="006433F1">
        <w:rPr>
          <w:rFonts w:ascii="Tw Cen MT" w:hAnsi="Tw Cen MT"/>
        </w:rPr>
        <w:t xml:space="preserve">  </w:t>
      </w:r>
      <w:r w:rsidR="006433F1" w:rsidRPr="00C0760A">
        <w:rPr>
          <w:rFonts w:ascii="Tw Cen MT" w:hAnsi="Tw Cen MT"/>
          <w:i/>
        </w:rPr>
        <w:t>See</w:t>
      </w:r>
      <w:r w:rsidR="006433F1">
        <w:rPr>
          <w:rFonts w:ascii="Tw Cen MT" w:hAnsi="Tw Cen MT"/>
        </w:rPr>
        <w:t xml:space="preserve"> Matt Kelly, </w:t>
      </w:r>
      <w:r w:rsidR="006433F1" w:rsidRPr="006433F1">
        <w:rPr>
          <w:rFonts w:ascii="Tw Cen MT" w:hAnsi="Tw Cen MT"/>
          <w:i/>
        </w:rPr>
        <w:t>Internal Investigations Just Got a Big Boost</w:t>
      </w:r>
      <w:r w:rsidR="006433F1">
        <w:rPr>
          <w:rFonts w:ascii="Tw Cen MT" w:hAnsi="Tw Cen MT"/>
        </w:rPr>
        <w:t xml:space="preserve">, Radical Compliance </w:t>
      </w:r>
      <w:r>
        <w:rPr>
          <w:rFonts w:ascii="Tw Cen MT" w:hAnsi="Tw Cen MT"/>
        </w:rPr>
        <w:t xml:space="preserve">Blog </w:t>
      </w:r>
      <w:r w:rsidR="006433F1">
        <w:rPr>
          <w:rFonts w:ascii="Tw Cen MT" w:hAnsi="Tw Cen MT"/>
        </w:rPr>
        <w:t>(June 2</w:t>
      </w:r>
      <w:r>
        <w:rPr>
          <w:rFonts w:ascii="Tw Cen MT" w:hAnsi="Tw Cen MT"/>
        </w:rPr>
        <w:t>1</w:t>
      </w:r>
      <w:r w:rsidR="006433F1">
        <w:rPr>
          <w:rFonts w:ascii="Tw Cen MT" w:hAnsi="Tw Cen MT"/>
        </w:rPr>
        <w:t>, 2006).</w:t>
      </w:r>
    </w:p>
    <w:p w:rsidR="006433F1" w:rsidRPr="006433F1" w:rsidRDefault="006433F1" w:rsidP="006433F1">
      <w:pPr>
        <w:pStyle w:val="ListParagraph"/>
        <w:ind w:left="3600"/>
        <w:rPr>
          <w:rFonts w:ascii="Tw Cen MT" w:hAnsi="Tw Cen MT" w:cs="Times New Roman"/>
          <w:sz w:val="24"/>
          <w:szCs w:val="24"/>
        </w:rPr>
      </w:pPr>
    </w:p>
    <w:p w:rsidR="007B2B0F" w:rsidRPr="00F61386" w:rsidRDefault="00C50CDE" w:rsidP="008D2D85">
      <w:pPr>
        <w:pStyle w:val="ListParagraph"/>
        <w:numPr>
          <w:ilvl w:val="0"/>
          <w:numId w:val="1"/>
        </w:numPr>
        <w:rPr>
          <w:rFonts w:ascii="Tw Cen MT" w:hAnsi="Tw Cen MT" w:cs="Times New Roman"/>
          <w:sz w:val="24"/>
          <w:szCs w:val="24"/>
        </w:rPr>
      </w:pPr>
      <w:r w:rsidRPr="00F61386">
        <w:rPr>
          <w:rFonts w:ascii="Tw Cen MT" w:hAnsi="Tw Cen MT"/>
          <w:b/>
          <w:sz w:val="24"/>
          <w:szCs w:val="24"/>
        </w:rPr>
        <w:t>Implications for Enforcement Practice</w:t>
      </w:r>
      <w:r w:rsidRPr="00F61386">
        <w:rPr>
          <w:rFonts w:ascii="Tw Cen MT" w:hAnsi="Tw Cen MT"/>
          <w:sz w:val="24"/>
          <w:szCs w:val="24"/>
        </w:rPr>
        <w:t xml:space="preserve"> </w:t>
      </w:r>
      <w:r w:rsidR="0082093F" w:rsidRPr="00F61386">
        <w:rPr>
          <w:rFonts w:ascii="Tw Cen MT" w:hAnsi="Tw Cen MT"/>
          <w:sz w:val="24"/>
          <w:szCs w:val="24"/>
        </w:rPr>
        <w:t xml:space="preserve">– </w:t>
      </w:r>
      <w:r w:rsidRPr="00F61386">
        <w:rPr>
          <w:rFonts w:ascii="Tw Cen MT" w:hAnsi="Tw Cen MT"/>
          <w:sz w:val="24"/>
          <w:szCs w:val="24"/>
        </w:rPr>
        <w:t xml:space="preserve">The </w:t>
      </w:r>
      <w:r w:rsidR="0082093F" w:rsidRPr="00F61386">
        <w:rPr>
          <w:rFonts w:ascii="Tw Cen MT" w:hAnsi="Tw Cen MT"/>
          <w:sz w:val="24"/>
          <w:szCs w:val="24"/>
        </w:rPr>
        <w:t>r</w:t>
      </w:r>
      <w:r w:rsidRPr="00F61386">
        <w:rPr>
          <w:rFonts w:ascii="Tw Cen MT" w:hAnsi="Tw Cen MT"/>
          <w:sz w:val="24"/>
          <w:szCs w:val="24"/>
        </w:rPr>
        <w:t>ules are intended to supplement the Commission</w:t>
      </w:r>
      <w:r w:rsidR="0082093F" w:rsidRPr="00F61386">
        <w:rPr>
          <w:rFonts w:ascii="Tw Cen MT" w:hAnsi="Tw Cen MT"/>
          <w:sz w:val="24"/>
          <w:szCs w:val="24"/>
        </w:rPr>
        <w:t>’</w:t>
      </w:r>
      <w:r w:rsidRPr="00F61386">
        <w:rPr>
          <w:rFonts w:ascii="Tw Cen MT" w:hAnsi="Tw Cen MT"/>
          <w:sz w:val="24"/>
          <w:szCs w:val="24"/>
        </w:rPr>
        <w:t>s efforts to encourage self-report</w:t>
      </w:r>
      <w:r w:rsidR="0082093F" w:rsidRPr="00F61386">
        <w:rPr>
          <w:rFonts w:ascii="Tw Cen MT" w:hAnsi="Tw Cen MT"/>
          <w:sz w:val="24"/>
          <w:szCs w:val="24"/>
        </w:rPr>
        <w:t>ing</w:t>
      </w:r>
      <w:r w:rsidRPr="00F61386">
        <w:rPr>
          <w:rFonts w:ascii="Tw Cen MT" w:hAnsi="Tw Cen MT"/>
          <w:sz w:val="24"/>
          <w:szCs w:val="24"/>
        </w:rPr>
        <w:t xml:space="preserve"> </w:t>
      </w:r>
      <w:r w:rsidR="0082093F" w:rsidRPr="00F61386">
        <w:rPr>
          <w:rFonts w:ascii="Tw Cen MT" w:hAnsi="Tw Cen MT"/>
          <w:sz w:val="24"/>
          <w:szCs w:val="24"/>
        </w:rPr>
        <w:t xml:space="preserve">of </w:t>
      </w:r>
      <w:r w:rsidRPr="00F61386">
        <w:rPr>
          <w:rFonts w:ascii="Tw Cen MT" w:hAnsi="Tw Cen MT"/>
          <w:sz w:val="24"/>
          <w:szCs w:val="24"/>
        </w:rPr>
        <w:t xml:space="preserve">securities law violations. </w:t>
      </w:r>
      <w:r w:rsidR="0082093F" w:rsidRPr="00F61386">
        <w:rPr>
          <w:rFonts w:ascii="Tw Cen MT" w:hAnsi="Tw Cen MT"/>
          <w:sz w:val="24"/>
          <w:szCs w:val="24"/>
        </w:rPr>
        <w:t xml:space="preserve"> In 2010, t</w:t>
      </w:r>
      <w:r w:rsidRPr="00F61386">
        <w:rPr>
          <w:rFonts w:ascii="Tw Cen MT" w:hAnsi="Tw Cen MT"/>
          <w:sz w:val="24"/>
          <w:szCs w:val="24"/>
        </w:rPr>
        <w:t xml:space="preserve">he SEC authorized the staff to enter into cooperation agreements with individuals and to resolve cases with entities that self-report violations and undertake remedial measures through non-prosecution agreements and deferred prosecution agreements. </w:t>
      </w:r>
    </w:p>
    <w:p w:rsidR="0082093F" w:rsidRPr="00F61386" w:rsidRDefault="0082093F" w:rsidP="0082093F">
      <w:pPr>
        <w:pStyle w:val="ListParagraph"/>
        <w:ind w:left="1080"/>
        <w:rPr>
          <w:rFonts w:ascii="Tw Cen MT" w:hAnsi="Tw Cen MT" w:cs="Times New Roman"/>
          <w:sz w:val="24"/>
          <w:szCs w:val="24"/>
        </w:rPr>
      </w:pPr>
    </w:p>
    <w:p w:rsidR="0082093F" w:rsidRPr="00F61386" w:rsidRDefault="00C50CDE" w:rsidP="00504538">
      <w:pPr>
        <w:pStyle w:val="ListParagraph"/>
        <w:numPr>
          <w:ilvl w:val="1"/>
          <w:numId w:val="1"/>
        </w:numPr>
        <w:rPr>
          <w:rFonts w:ascii="Tw Cen MT" w:hAnsi="Tw Cen MT" w:cs="Times New Roman"/>
          <w:sz w:val="24"/>
          <w:szCs w:val="24"/>
        </w:rPr>
      </w:pPr>
      <w:r w:rsidRPr="00F61386">
        <w:rPr>
          <w:rFonts w:ascii="Tw Cen MT" w:hAnsi="Tw Cen MT"/>
          <w:b/>
          <w:sz w:val="24"/>
          <w:szCs w:val="24"/>
        </w:rPr>
        <w:t>Self-Reporting</w:t>
      </w:r>
      <w:r w:rsidRPr="00F61386">
        <w:rPr>
          <w:rFonts w:ascii="Tw Cen MT" w:hAnsi="Tw Cen MT"/>
          <w:sz w:val="24"/>
          <w:szCs w:val="24"/>
        </w:rPr>
        <w:t xml:space="preserve"> </w:t>
      </w:r>
      <w:r w:rsidR="00A65C4D" w:rsidRPr="00F61386">
        <w:rPr>
          <w:rFonts w:ascii="Tw Cen MT" w:hAnsi="Tw Cen MT"/>
          <w:sz w:val="24"/>
          <w:szCs w:val="24"/>
        </w:rPr>
        <w:t xml:space="preserve">– </w:t>
      </w:r>
      <w:r w:rsidRPr="00F61386">
        <w:rPr>
          <w:rFonts w:ascii="Tw Cen MT" w:hAnsi="Tw Cen MT"/>
          <w:sz w:val="24"/>
          <w:szCs w:val="24"/>
        </w:rPr>
        <w:t>Historically, the SEC has said that it will consider lower sanctions or non-prosecution for companies who promptly self-report potential violations.</w:t>
      </w:r>
      <w:r w:rsidR="00A65C4D" w:rsidRPr="00F61386">
        <w:rPr>
          <w:rFonts w:ascii="Tw Cen MT" w:hAnsi="Tw Cen MT"/>
          <w:sz w:val="24"/>
          <w:szCs w:val="24"/>
        </w:rPr>
        <w:t xml:space="preserve">  Those lower sanctions have always been very hard to quantify. </w:t>
      </w:r>
      <w:r w:rsidRPr="00F61386">
        <w:rPr>
          <w:rFonts w:ascii="Tw Cen MT" w:hAnsi="Tw Cen MT"/>
          <w:sz w:val="24"/>
          <w:szCs w:val="24"/>
        </w:rPr>
        <w:t xml:space="preserve"> A company investigating a possible violation must bear in mind the possibility that a whistleblower may seek to “win the race” to the SEC, which</w:t>
      </w:r>
      <w:r w:rsidR="00A65C4D" w:rsidRPr="00F61386">
        <w:rPr>
          <w:rFonts w:ascii="Tw Cen MT" w:hAnsi="Tw Cen MT"/>
          <w:sz w:val="24"/>
          <w:szCs w:val="24"/>
        </w:rPr>
        <w:t xml:space="preserve"> could then </w:t>
      </w:r>
      <w:r w:rsidRPr="00F61386">
        <w:rPr>
          <w:rFonts w:ascii="Tw Cen MT" w:hAnsi="Tw Cen MT"/>
          <w:sz w:val="24"/>
          <w:szCs w:val="24"/>
        </w:rPr>
        <w:t xml:space="preserve">adversely affect the amount of “credit” the company may claim for itself. </w:t>
      </w:r>
    </w:p>
    <w:p w:rsidR="00A65C4D" w:rsidRPr="00F61386" w:rsidRDefault="00A65C4D" w:rsidP="00A65C4D">
      <w:pPr>
        <w:pStyle w:val="ListParagraph"/>
        <w:ind w:left="1440"/>
        <w:rPr>
          <w:rFonts w:ascii="Tw Cen MT" w:hAnsi="Tw Cen MT" w:cs="Times New Roman"/>
          <w:sz w:val="24"/>
          <w:szCs w:val="24"/>
        </w:rPr>
      </w:pPr>
    </w:p>
    <w:p w:rsidR="00C50CDE" w:rsidRPr="00F61386" w:rsidRDefault="00C50CDE" w:rsidP="008D2D85">
      <w:pPr>
        <w:pStyle w:val="ListParagraph"/>
        <w:numPr>
          <w:ilvl w:val="1"/>
          <w:numId w:val="1"/>
        </w:numPr>
        <w:rPr>
          <w:rFonts w:ascii="Tw Cen MT" w:hAnsi="Tw Cen MT" w:cs="Times New Roman"/>
          <w:sz w:val="24"/>
          <w:szCs w:val="24"/>
        </w:rPr>
      </w:pPr>
      <w:r w:rsidRPr="00F61386">
        <w:rPr>
          <w:rFonts w:ascii="Tw Cen MT" w:hAnsi="Tw Cen MT"/>
          <w:b/>
          <w:sz w:val="24"/>
          <w:szCs w:val="24"/>
        </w:rPr>
        <w:t xml:space="preserve">Protect </w:t>
      </w:r>
      <w:r w:rsidR="00CB5A38" w:rsidRPr="00F61386">
        <w:rPr>
          <w:rFonts w:ascii="Tw Cen MT" w:hAnsi="Tw Cen MT"/>
          <w:b/>
          <w:sz w:val="24"/>
          <w:szCs w:val="24"/>
        </w:rPr>
        <w:t>P</w:t>
      </w:r>
      <w:r w:rsidRPr="00F61386">
        <w:rPr>
          <w:rFonts w:ascii="Tw Cen MT" w:hAnsi="Tw Cen MT"/>
          <w:b/>
          <w:sz w:val="24"/>
          <w:szCs w:val="24"/>
        </w:rPr>
        <w:t>rivileges</w:t>
      </w:r>
      <w:r w:rsidR="00CB5A38" w:rsidRPr="00F61386">
        <w:rPr>
          <w:rFonts w:ascii="Tw Cen MT" w:hAnsi="Tw Cen MT"/>
          <w:sz w:val="24"/>
          <w:szCs w:val="24"/>
        </w:rPr>
        <w:t xml:space="preserve"> – </w:t>
      </w:r>
      <w:r w:rsidRPr="00F61386">
        <w:rPr>
          <w:rFonts w:ascii="Tw Cen MT" w:hAnsi="Tw Cen MT"/>
          <w:sz w:val="24"/>
          <w:szCs w:val="24"/>
        </w:rPr>
        <w:t>For several decades, practitioners have sought to enter into “limited waiver” agreements under which company counsel sought to provide privileged information and protected attorney</w:t>
      </w:r>
      <w:r w:rsidR="006123EE" w:rsidRPr="00F61386">
        <w:rPr>
          <w:rFonts w:ascii="Tw Cen MT" w:hAnsi="Tw Cen MT"/>
          <w:sz w:val="24"/>
          <w:szCs w:val="24"/>
        </w:rPr>
        <w:t xml:space="preserve"> work product to the Commissions</w:t>
      </w:r>
      <w:r w:rsidRPr="00F61386">
        <w:rPr>
          <w:rFonts w:ascii="Tw Cen MT" w:hAnsi="Tw Cen MT"/>
          <w:sz w:val="24"/>
          <w:szCs w:val="24"/>
        </w:rPr>
        <w:t xml:space="preserve"> while maintaining the privilege or protection as to third parties. Courts have not always honored such limited waiver agreements. Nevertheless, companies who wish to cooperate and share the results of an internal investigation and the evidence collected can defend against a subsequent claim of waiver in a private </w:t>
      </w:r>
      <w:r w:rsidRPr="00F61386">
        <w:rPr>
          <w:rFonts w:ascii="Tw Cen MT" w:hAnsi="Tw Cen MT"/>
          <w:sz w:val="24"/>
          <w:szCs w:val="24"/>
        </w:rPr>
        <w:lastRenderedPageBreak/>
        <w:t>civil action by carefully defining the scope of com</w:t>
      </w:r>
      <w:r w:rsidR="006123EE" w:rsidRPr="00F61386">
        <w:rPr>
          <w:rFonts w:ascii="Tw Cen MT" w:hAnsi="Tw Cen MT"/>
          <w:sz w:val="24"/>
          <w:szCs w:val="24"/>
        </w:rPr>
        <w:t>munications with the Commission</w:t>
      </w:r>
      <w:r w:rsidRPr="00F61386">
        <w:rPr>
          <w:rFonts w:ascii="Tw Cen MT" w:hAnsi="Tw Cen MT"/>
          <w:sz w:val="24"/>
          <w:szCs w:val="24"/>
        </w:rPr>
        <w:t>, limiting the amount of attorney work product disclosed, and guarding against unauthorized disclosures of privileged information or attorney work product.</w:t>
      </w:r>
    </w:p>
    <w:p w:rsidR="0082093F" w:rsidRPr="00F61386" w:rsidRDefault="0082093F" w:rsidP="0082093F">
      <w:pPr>
        <w:pStyle w:val="ListParagraph"/>
        <w:ind w:left="1440"/>
        <w:rPr>
          <w:rFonts w:ascii="Tw Cen MT" w:hAnsi="Tw Cen MT" w:cs="Times New Roman"/>
          <w:sz w:val="24"/>
          <w:szCs w:val="24"/>
        </w:rPr>
      </w:pPr>
    </w:p>
    <w:p w:rsidR="00C07C5B" w:rsidRPr="00F61386" w:rsidRDefault="00C50CDE" w:rsidP="00794ACF">
      <w:pPr>
        <w:pStyle w:val="ListParagraph"/>
        <w:numPr>
          <w:ilvl w:val="1"/>
          <w:numId w:val="1"/>
        </w:numPr>
        <w:rPr>
          <w:rFonts w:ascii="Tw Cen MT" w:hAnsi="Tw Cen MT" w:cs="Times New Roman"/>
          <w:sz w:val="24"/>
          <w:szCs w:val="24"/>
        </w:rPr>
      </w:pPr>
      <w:r w:rsidRPr="00F61386">
        <w:rPr>
          <w:rFonts w:ascii="Tw Cen MT" w:hAnsi="Tw Cen MT"/>
          <w:b/>
          <w:sz w:val="24"/>
          <w:szCs w:val="24"/>
        </w:rPr>
        <w:t>Assess Public Disclosure Issues</w:t>
      </w:r>
      <w:r w:rsidR="004E5966" w:rsidRPr="00F61386">
        <w:rPr>
          <w:rFonts w:ascii="Tw Cen MT" w:hAnsi="Tw Cen MT"/>
          <w:sz w:val="24"/>
          <w:szCs w:val="24"/>
        </w:rPr>
        <w:t xml:space="preserve"> –</w:t>
      </w:r>
      <w:r w:rsidRPr="00F61386">
        <w:rPr>
          <w:rFonts w:ascii="Tw Cen MT" w:hAnsi="Tw Cen MT"/>
          <w:sz w:val="24"/>
          <w:szCs w:val="24"/>
        </w:rPr>
        <w:t xml:space="preserve"> Whistleblowers may raise issues that suggest that a company’s previous periodic reports or press releases are inaccurate. These issues may also have implications for the accuracy of selling documents, prospectuses, or other sales literature distributed to customers or used by sales personnel. They may also identify previously unknown contingent liabilities. Broker</w:t>
      </w:r>
      <w:r w:rsidR="004E5966" w:rsidRPr="00F61386">
        <w:rPr>
          <w:rFonts w:ascii="Tw Cen MT" w:hAnsi="Tw Cen MT"/>
          <w:sz w:val="24"/>
          <w:szCs w:val="24"/>
        </w:rPr>
        <w:t>-</w:t>
      </w:r>
      <w:r w:rsidRPr="00F61386">
        <w:rPr>
          <w:rFonts w:ascii="Tw Cen MT" w:hAnsi="Tw Cen MT"/>
          <w:sz w:val="24"/>
          <w:szCs w:val="24"/>
        </w:rPr>
        <w:t xml:space="preserve">dealers and investment advisers </w:t>
      </w:r>
      <w:r w:rsidR="004E5966" w:rsidRPr="00F61386">
        <w:rPr>
          <w:rFonts w:ascii="Tw Cen MT" w:hAnsi="Tw Cen MT"/>
          <w:sz w:val="24"/>
          <w:szCs w:val="24"/>
        </w:rPr>
        <w:t xml:space="preserve">also </w:t>
      </w:r>
      <w:r w:rsidRPr="00F61386">
        <w:rPr>
          <w:rFonts w:ascii="Tw Cen MT" w:hAnsi="Tw Cen MT"/>
          <w:sz w:val="24"/>
          <w:szCs w:val="24"/>
        </w:rPr>
        <w:t xml:space="preserve">may need to assess whether corrective or additional disclosures to customers are required. </w:t>
      </w:r>
    </w:p>
    <w:sectPr w:rsidR="00C07C5B" w:rsidRPr="00F6138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606" w:rsidRDefault="00826606" w:rsidP="00B64391">
      <w:pPr>
        <w:spacing w:after="0" w:line="240" w:lineRule="auto"/>
      </w:pPr>
      <w:r>
        <w:separator/>
      </w:r>
    </w:p>
  </w:endnote>
  <w:endnote w:type="continuationSeparator" w:id="0">
    <w:p w:rsidR="00826606" w:rsidRDefault="00826606" w:rsidP="00B6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212569"/>
      <w:docPartObj>
        <w:docPartGallery w:val="Page Numbers (Bottom of Page)"/>
        <w:docPartUnique/>
      </w:docPartObj>
    </w:sdtPr>
    <w:sdtEndPr>
      <w:rPr>
        <w:rFonts w:ascii="Tw Cen MT" w:hAnsi="Tw Cen MT"/>
        <w:noProof/>
        <w:sz w:val="24"/>
        <w:szCs w:val="24"/>
      </w:rPr>
    </w:sdtEndPr>
    <w:sdtContent>
      <w:p w:rsidR="00826606" w:rsidRDefault="00826606">
        <w:pPr>
          <w:pStyle w:val="Footer"/>
          <w:jc w:val="center"/>
        </w:pPr>
        <w:r w:rsidRPr="0007772A">
          <w:rPr>
            <w:rFonts w:ascii="Tw Cen MT" w:hAnsi="Tw Cen MT"/>
            <w:sz w:val="24"/>
            <w:szCs w:val="24"/>
          </w:rPr>
          <w:fldChar w:fldCharType="begin"/>
        </w:r>
        <w:r w:rsidRPr="0007772A">
          <w:rPr>
            <w:rFonts w:ascii="Tw Cen MT" w:hAnsi="Tw Cen MT"/>
            <w:sz w:val="24"/>
            <w:szCs w:val="24"/>
          </w:rPr>
          <w:instrText xml:space="preserve"> PAGE   \* MERGEFORMAT </w:instrText>
        </w:r>
        <w:r w:rsidRPr="0007772A">
          <w:rPr>
            <w:rFonts w:ascii="Tw Cen MT" w:hAnsi="Tw Cen MT"/>
            <w:sz w:val="24"/>
            <w:szCs w:val="24"/>
          </w:rPr>
          <w:fldChar w:fldCharType="separate"/>
        </w:r>
        <w:r w:rsidR="0098288C">
          <w:rPr>
            <w:rFonts w:ascii="Tw Cen MT" w:hAnsi="Tw Cen MT"/>
            <w:noProof/>
            <w:sz w:val="24"/>
            <w:szCs w:val="24"/>
          </w:rPr>
          <w:t>1</w:t>
        </w:r>
        <w:r w:rsidRPr="0007772A">
          <w:rPr>
            <w:rFonts w:ascii="Tw Cen MT" w:hAnsi="Tw Cen MT"/>
            <w:noProof/>
            <w:sz w:val="24"/>
            <w:szCs w:val="24"/>
          </w:rPr>
          <w:fldChar w:fldCharType="end"/>
        </w:r>
      </w:p>
    </w:sdtContent>
  </w:sdt>
  <w:p w:rsidR="003A0280" w:rsidRDefault="003A0280" w:rsidP="003A0280">
    <w:pPr>
      <w:pStyle w:val="Header"/>
      <w:rPr>
        <w:rFonts w:ascii="Tw Cen MT" w:hAnsi="Tw Cen MT"/>
        <w:sz w:val="18"/>
        <w:szCs w:val="18"/>
      </w:rPr>
    </w:pPr>
  </w:p>
  <w:p w:rsidR="003A0280" w:rsidRPr="003A0280" w:rsidRDefault="003A0280" w:rsidP="003A0280">
    <w:pPr>
      <w:pStyle w:val="Header"/>
      <w:rPr>
        <w:rFonts w:ascii="Tw Cen MT" w:hAnsi="Tw Cen MT"/>
        <w:sz w:val="18"/>
        <w:szCs w:val="18"/>
      </w:rPr>
    </w:pPr>
    <w:r w:rsidRPr="003A0280">
      <w:rPr>
        <w:rFonts w:ascii="Tw Cen MT" w:hAnsi="Tw Cen MT"/>
        <w:sz w:val="18"/>
        <w:szCs w:val="18"/>
      </w:rPr>
      <w:t xml:space="preserve">David Smyth </w:t>
    </w:r>
    <w:r w:rsidRPr="003A0280">
      <w:rPr>
        <w:rFonts w:ascii="Arial" w:hAnsi="Arial" w:cs="Arial"/>
        <w:sz w:val="18"/>
        <w:szCs w:val="18"/>
      </w:rPr>
      <w:t>●</w:t>
    </w:r>
    <w:r w:rsidRPr="003A0280">
      <w:rPr>
        <w:rFonts w:ascii="Tw Cen MT" w:hAnsi="Tw Cen MT"/>
        <w:sz w:val="18"/>
        <w:szCs w:val="18"/>
      </w:rPr>
      <w:t xml:space="preserve"> </w:t>
    </w:r>
    <w:hyperlink r:id="rId1" w:history="1">
      <w:r w:rsidRPr="003A0280">
        <w:rPr>
          <w:rStyle w:val="Hyperlink"/>
          <w:rFonts w:ascii="Tw Cen MT" w:hAnsi="Tw Cen MT"/>
          <w:sz w:val="18"/>
          <w:szCs w:val="18"/>
        </w:rPr>
        <w:t>dsmyth@brookspierce.com</w:t>
      </w:r>
    </w:hyperlink>
    <w:r w:rsidRPr="003A0280">
      <w:rPr>
        <w:rFonts w:ascii="Tw Cen MT" w:hAnsi="Tw Cen MT"/>
        <w:sz w:val="18"/>
        <w:szCs w:val="18"/>
      </w:rPr>
      <w:t xml:space="preserve"> </w:t>
    </w:r>
    <w:r w:rsidRPr="003A0280">
      <w:rPr>
        <w:rFonts w:ascii="Arial" w:hAnsi="Arial" w:cs="Arial"/>
        <w:sz w:val="18"/>
        <w:szCs w:val="18"/>
      </w:rPr>
      <w:t>●</w:t>
    </w:r>
    <w:r w:rsidRPr="003A0280">
      <w:rPr>
        <w:rFonts w:ascii="Tw Cen MT" w:hAnsi="Tw Cen MT"/>
        <w:sz w:val="18"/>
        <w:szCs w:val="18"/>
      </w:rPr>
      <w:t xml:space="preserve"> 919.573.6218</w:t>
    </w:r>
  </w:p>
  <w:p w:rsidR="003A0280" w:rsidRPr="003A0280" w:rsidRDefault="003A0280" w:rsidP="003A0280">
    <w:pPr>
      <w:pStyle w:val="Header"/>
      <w:rPr>
        <w:rFonts w:ascii="Tw Cen MT" w:hAnsi="Tw Cen MT"/>
        <w:sz w:val="18"/>
        <w:szCs w:val="18"/>
      </w:rPr>
    </w:pPr>
  </w:p>
  <w:p w:rsidR="00826606" w:rsidRDefault="00826606" w:rsidP="003A02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606" w:rsidRDefault="00826606" w:rsidP="00B64391">
      <w:pPr>
        <w:spacing w:after="0" w:line="240" w:lineRule="auto"/>
      </w:pPr>
      <w:r>
        <w:separator/>
      </w:r>
    </w:p>
  </w:footnote>
  <w:footnote w:type="continuationSeparator" w:id="0">
    <w:p w:rsidR="00826606" w:rsidRDefault="00826606" w:rsidP="00B6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054" w:rsidRDefault="00EA0054">
    <w:pPr>
      <w:pStyle w:val="Header"/>
    </w:pPr>
    <w:r>
      <w:rPr>
        <w:noProof/>
      </w:rPr>
      <w:drawing>
        <wp:inline distT="0" distB="0" distL="0" distR="0" wp14:anchorId="2578B01B" wp14:editId="2208CA69">
          <wp:extent cx="1828800" cy="537882"/>
          <wp:effectExtent l="0" t="0" r="0" b="0"/>
          <wp:docPr id="4" name="Picture 4" descr="G:\Firm Logos\3 inch logo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irm Logos\3 inch logo 30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850" cy="553485"/>
                  </a:xfrm>
                  <a:prstGeom prst="rect">
                    <a:avLst/>
                  </a:prstGeom>
                  <a:noFill/>
                  <a:ln>
                    <a:noFill/>
                  </a:ln>
                </pic:spPr>
              </pic:pic>
            </a:graphicData>
          </a:graphic>
        </wp:inline>
      </w:drawing>
    </w:r>
  </w:p>
  <w:p w:rsidR="00C122B0" w:rsidRDefault="00C122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D5073"/>
    <w:multiLevelType w:val="hybridMultilevel"/>
    <w:tmpl w:val="A142E86A"/>
    <w:lvl w:ilvl="0" w:tplc="B4BE68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0C7623"/>
    <w:multiLevelType w:val="hybridMultilevel"/>
    <w:tmpl w:val="24BA66D6"/>
    <w:lvl w:ilvl="0" w:tplc="AB5093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C5B"/>
    <w:rsid w:val="0003313E"/>
    <w:rsid w:val="00035BE4"/>
    <w:rsid w:val="0007772A"/>
    <w:rsid w:val="00091346"/>
    <w:rsid w:val="000B2065"/>
    <w:rsid w:val="000D22C4"/>
    <w:rsid w:val="000D71CD"/>
    <w:rsid w:val="000E3E7F"/>
    <w:rsid w:val="000E7471"/>
    <w:rsid w:val="001043A2"/>
    <w:rsid w:val="0012109B"/>
    <w:rsid w:val="001461DD"/>
    <w:rsid w:val="001466B4"/>
    <w:rsid w:val="00176648"/>
    <w:rsid w:val="001A057B"/>
    <w:rsid w:val="001A6FB2"/>
    <w:rsid w:val="002030CA"/>
    <w:rsid w:val="0020343A"/>
    <w:rsid w:val="00207B78"/>
    <w:rsid w:val="002127F2"/>
    <w:rsid w:val="00216B27"/>
    <w:rsid w:val="002600C5"/>
    <w:rsid w:val="00261608"/>
    <w:rsid w:val="00283FAE"/>
    <w:rsid w:val="00297C27"/>
    <w:rsid w:val="002A40FF"/>
    <w:rsid w:val="002A438A"/>
    <w:rsid w:val="002C3E91"/>
    <w:rsid w:val="002C43A2"/>
    <w:rsid w:val="002C467E"/>
    <w:rsid w:val="002E2C78"/>
    <w:rsid w:val="00315BBF"/>
    <w:rsid w:val="003216F6"/>
    <w:rsid w:val="003258F5"/>
    <w:rsid w:val="003309C4"/>
    <w:rsid w:val="00350726"/>
    <w:rsid w:val="0039408E"/>
    <w:rsid w:val="003A0280"/>
    <w:rsid w:val="003A2FA3"/>
    <w:rsid w:val="003B291A"/>
    <w:rsid w:val="003C4C3B"/>
    <w:rsid w:val="003C6DAB"/>
    <w:rsid w:val="003D16EB"/>
    <w:rsid w:val="003F4CBE"/>
    <w:rsid w:val="00442F64"/>
    <w:rsid w:val="00450F37"/>
    <w:rsid w:val="00456B60"/>
    <w:rsid w:val="004A2B6A"/>
    <w:rsid w:val="004A5858"/>
    <w:rsid w:val="004C262A"/>
    <w:rsid w:val="004C27B0"/>
    <w:rsid w:val="004E0DFE"/>
    <w:rsid w:val="004E5966"/>
    <w:rsid w:val="00513191"/>
    <w:rsid w:val="00520C13"/>
    <w:rsid w:val="005278C8"/>
    <w:rsid w:val="00544182"/>
    <w:rsid w:val="00552F8B"/>
    <w:rsid w:val="005534D1"/>
    <w:rsid w:val="0055483F"/>
    <w:rsid w:val="00557B88"/>
    <w:rsid w:val="005748A1"/>
    <w:rsid w:val="005A1CB9"/>
    <w:rsid w:val="005C50F2"/>
    <w:rsid w:val="005D59D9"/>
    <w:rsid w:val="005F5E2A"/>
    <w:rsid w:val="00606394"/>
    <w:rsid w:val="006102E5"/>
    <w:rsid w:val="006123EE"/>
    <w:rsid w:val="00612E16"/>
    <w:rsid w:val="0063781B"/>
    <w:rsid w:val="00640BB3"/>
    <w:rsid w:val="006433F1"/>
    <w:rsid w:val="00653428"/>
    <w:rsid w:val="00667073"/>
    <w:rsid w:val="00672011"/>
    <w:rsid w:val="00697873"/>
    <w:rsid w:val="006B0090"/>
    <w:rsid w:val="006B0C0C"/>
    <w:rsid w:val="006B3FA1"/>
    <w:rsid w:val="006E4CFC"/>
    <w:rsid w:val="006F33AF"/>
    <w:rsid w:val="00733C7A"/>
    <w:rsid w:val="00754C75"/>
    <w:rsid w:val="00764138"/>
    <w:rsid w:val="0077097E"/>
    <w:rsid w:val="00786F4A"/>
    <w:rsid w:val="00794C7D"/>
    <w:rsid w:val="007B2B0F"/>
    <w:rsid w:val="007B2E3C"/>
    <w:rsid w:val="007C0CED"/>
    <w:rsid w:val="00820276"/>
    <w:rsid w:val="0082093F"/>
    <w:rsid w:val="008209D7"/>
    <w:rsid w:val="00826606"/>
    <w:rsid w:val="0083321B"/>
    <w:rsid w:val="008534F4"/>
    <w:rsid w:val="00884C4D"/>
    <w:rsid w:val="008949CA"/>
    <w:rsid w:val="008B14C5"/>
    <w:rsid w:val="008B5E08"/>
    <w:rsid w:val="008B651D"/>
    <w:rsid w:val="008C0ADB"/>
    <w:rsid w:val="008D1FDA"/>
    <w:rsid w:val="008D1FEF"/>
    <w:rsid w:val="008D2D85"/>
    <w:rsid w:val="008F1CE0"/>
    <w:rsid w:val="00913599"/>
    <w:rsid w:val="00931E7C"/>
    <w:rsid w:val="0095793C"/>
    <w:rsid w:val="0098288C"/>
    <w:rsid w:val="00994866"/>
    <w:rsid w:val="009A7189"/>
    <w:rsid w:val="009B1804"/>
    <w:rsid w:val="009C3752"/>
    <w:rsid w:val="009D7F8E"/>
    <w:rsid w:val="009F3788"/>
    <w:rsid w:val="00A35C8F"/>
    <w:rsid w:val="00A36488"/>
    <w:rsid w:val="00A56F21"/>
    <w:rsid w:val="00A65598"/>
    <w:rsid w:val="00A65C4D"/>
    <w:rsid w:val="00A72C41"/>
    <w:rsid w:val="00A73D2A"/>
    <w:rsid w:val="00AB4D63"/>
    <w:rsid w:val="00B05524"/>
    <w:rsid w:val="00B141BB"/>
    <w:rsid w:val="00B17AFD"/>
    <w:rsid w:val="00B357FB"/>
    <w:rsid w:val="00B52521"/>
    <w:rsid w:val="00B64391"/>
    <w:rsid w:val="00BB53E6"/>
    <w:rsid w:val="00BD4F95"/>
    <w:rsid w:val="00BE4D07"/>
    <w:rsid w:val="00BE6755"/>
    <w:rsid w:val="00C0760A"/>
    <w:rsid w:val="00C07C5B"/>
    <w:rsid w:val="00C122B0"/>
    <w:rsid w:val="00C132FA"/>
    <w:rsid w:val="00C34146"/>
    <w:rsid w:val="00C37BEC"/>
    <w:rsid w:val="00C40482"/>
    <w:rsid w:val="00C50CDE"/>
    <w:rsid w:val="00C62B42"/>
    <w:rsid w:val="00C631FF"/>
    <w:rsid w:val="00C82C72"/>
    <w:rsid w:val="00CB5A38"/>
    <w:rsid w:val="00CD0C8D"/>
    <w:rsid w:val="00CD224B"/>
    <w:rsid w:val="00D06F96"/>
    <w:rsid w:val="00D32931"/>
    <w:rsid w:val="00D42614"/>
    <w:rsid w:val="00D4506E"/>
    <w:rsid w:val="00D45CAF"/>
    <w:rsid w:val="00D637F4"/>
    <w:rsid w:val="00D81FF2"/>
    <w:rsid w:val="00D909B8"/>
    <w:rsid w:val="00DA4E74"/>
    <w:rsid w:val="00DA6CB8"/>
    <w:rsid w:val="00DC5B09"/>
    <w:rsid w:val="00DD1098"/>
    <w:rsid w:val="00E04353"/>
    <w:rsid w:val="00E1167B"/>
    <w:rsid w:val="00E150C7"/>
    <w:rsid w:val="00E25495"/>
    <w:rsid w:val="00E67871"/>
    <w:rsid w:val="00E77CFB"/>
    <w:rsid w:val="00E84560"/>
    <w:rsid w:val="00EA0054"/>
    <w:rsid w:val="00ED0B59"/>
    <w:rsid w:val="00ED4A7E"/>
    <w:rsid w:val="00EE0E00"/>
    <w:rsid w:val="00EE4451"/>
    <w:rsid w:val="00F2047D"/>
    <w:rsid w:val="00F25F9D"/>
    <w:rsid w:val="00F4124E"/>
    <w:rsid w:val="00F43C5C"/>
    <w:rsid w:val="00F54EA8"/>
    <w:rsid w:val="00F61386"/>
    <w:rsid w:val="00F63B60"/>
    <w:rsid w:val="00F95CDE"/>
    <w:rsid w:val="00F961A3"/>
    <w:rsid w:val="00FB6E7C"/>
    <w:rsid w:val="00FD13E7"/>
    <w:rsid w:val="00FE2EE2"/>
    <w:rsid w:val="00FF0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4E1B4-DAA9-4485-A5D0-3F071A63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A40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C5B"/>
    <w:pPr>
      <w:ind w:left="720"/>
      <w:contextualSpacing/>
    </w:pPr>
  </w:style>
  <w:style w:type="paragraph" w:styleId="Header">
    <w:name w:val="header"/>
    <w:basedOn w:val="Normal"/>
    <w:link w:val="HeaderChar"/>
    <w:uiPriority w:val="99"/>
    <w:unhideWhenUsed/>
    <w:rsid w:val="00B64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391"/>
  </w:style>
  <w:style w:type="paragraph" w:styleId="Footer">
    <w:name w:val="footer"/>
    <w:basedOn w:val="Normal"/>
    <w:link w:val="FooterChar"/>
    <w:uiPriority w:val="99"/>
    <w:unhideWhenUsed/>
    <w:rsid w:val="00B64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391"/>
  </w:style>
  <w:style w:type="character" w:customStyle="1" w:styleId="apple-converted-space">
    <w:name w:val="apple-converted-space"/>
    <w:basedOn w:val="DefaultParagraphFont"/>
    <w:rsid w:val="006E4CFC"/>
  </w:style>
  <w:style w:type="character" w:styleId="Hyperlink">
    <w:name w:val="Hyperlink"/>
    <w:basedOn w:val="DefaultParagraphFont"/>
    <w:uiPriority w:val="99"/>
    <w:unhideWhenUsed/>
    <w:rsid w:val="006E4CFC"/>
    <w:rPr>
      <w:color w:val="0000FF"/>
      <w:u w:val="single"/>
    </w:rPr>
  </w:style>
  <w:style w:type="character" w:customStyle="1" w:styleId="Heading1Char">
    <w:name w:val="Heading 1 Char"/>
    <w:basedOn w:val="DefaultParagraphFont"/>
    <w:link w:val="Heading1"/>
    <w:uiPriority w:val="9"/>
    <w:rsid w:val="002A40FF"/>
    <w:rPr>
      <w:rFonts w:ascii="Times New Roman" w:eastAsia="Times New Roman" w:hAnsi="Times New Roman" w:cs="Times New Roman"/>
      <w:b/>
      <w:bCs/>
      <w:kern w:val="36"/>
      <w:sz w:val="48"/>
      <w:szCs w:val="48"/>
    </w:rPr>
  </w:style>
  <w:style w:type="character" w:customStyle="1" w:styleId="term">
    <w:name w:val="term"/>
    <w:basedOn w:val="DefaultParagraphFont"/>
    <w:rsid w:val="0012109B"/>
  </w:style>
  <w:style w:type="character" w:customStyle="1" w:styleId="pmterms2">
    <w:name w:val="pmterms2"/>
    <w:basedOn w:val="DefaultParagraphFont"/>
    <w:rsid w:val="0012109B"/>
  </w:style>
  <w:style w:type="paragraph" w:styleId="NormalWeb">
    <w:name w:val="Normal (Web)"/>
    <w:basedOn w:val="Normal"/>
    <w:uiPriority w:val="99"/>
    <w:unhideWhenUsed/>
    <w:rsid w:val="006433F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433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72666">
      <w:bodyDiv w:val="1"/>
      <w:marLeft w:val="0"/>
      <w:marRight w:val="0"/>
      <w:marTop w:val="0"/>
      <w:marBottom w:val="0"/>
      <w:divBdr>
        <w:top w:val="none" w:sz="0" w:space="0" w:color="auto"/>
        <w:left w:val="none" w:sz="0" w:space="0" w:color="auto"/>
        <w:bottom w:val="none" w:sz="0" w:space="0" w:color="auto"/>
        <w:right w:val="none" w:sz="0" w:space="0" w:color="auto"/>
      </w:divBdr>
    </w:div>
    <w:div w:id="546188897">
      <w:bodyDiv w:val="1"/>
      <w:marLeft w:val="0"/>
      <w:marRight w:val="0"/>
      <w:marTop w:val="0"/>
      <w:marBottom w:val="0"/>
      <w:divBdr>
        <w:top w:val="none" w:sz="0" w:space="0" w:color="auto"/>
        <w:left w:val="none" w:sz="0" w:space="0" w:color="auto"/>
        <w:bottom w:val="none" w:sz="0" w:space="0" w:color="auto"/>
        <w:right w:val="none" w:sz="0" w:space="0" w:color="auto"/>
      </w:divBdr>
    </w:div>
    <w:div w:id="140892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smyth@brookspier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6739</Words>
  <Characters>38414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45063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Smyth</dc:creator>
  <cp:keywords/>
  <dc:description/>
  <cp:lastModifiedBy>Amy Grasty</cp:lastModifiedBy>
  <cp:revision>2</cp:revision>
  <dcterms:created xsi:type="dcterms:W3CDTF">2016-07-22T13:45:00Z</dcterms:created>
  <dcterms:modified xsi:type="dcterms:W3CDTF">2016-07-22T13:45:00Z</dcterms:modified>
</cp:coreProperties>
</file>